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9BCDC" w14:textId="77777777" w:rsidR="00087E54" w:rsidRPr="00E476FE" w:rsidRDefault="00087E54" w:rsidP="00087E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00F05B5" w14:textId="77777777" w:rsidR="00087E54" w:rsidRPr="00E476FE" w:rsidRDefault="00087E54" w:rsidP="00087E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B5ADD07" w14:textId="77777777" w:rsidR="00087E54" w:rsidRPr="00E476FE" w:rsidRDefault="00087E54" w:rsidP="00087E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27DE1B14" w14:textId="77777777" w:rsidR="00087E54" w:rsidRPr="00E476FE" w:rsidRDefault="00087E54" w:rsidP="0008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9753" w14:textId="77777777" w:rsidR="00087E54" w:rsidRPr="00E476FE" w:rsidRDefault="00087E54" w:rsidP="0008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70273" w14:textId="77777777" w:rsidR="00087E54" w:rsidRPr="00E476FE" w:rsidRDefault="00087E54" w:rsidP="0008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Fisiopatologia</w:t>
      </w:r>
    </w:p>
    <w:p w14:paraId="5A85D190" w14:textId="66425BD4" w:rsidR="00087E54" w:rsidRDefault="00087E54" w:rsidP="00087E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 w:rsidR="00537148">
        <w:rPr>
          <w:rFonts w:ascii="Times New Roman" w:hAnsi="Times New Roman" w:cs="Times New Roman"/>
          <w:b/>
          <w:bCs/>
          <w:sz w:val="28"/>
          <w:szCs w:val="28"/>
        </w:rPr>
        <w:t>Patologia clinica (Immunoematologia)</w:t>
      </w:r>
    </w:p>
    <w:p w14:paraId="5AC56EB5" w14:textId="6C03A56D" w:rsidR="002674A8" w:rsidRPr="00D52F48" w:rsidRDefault="005371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sistemi gruppo – ematici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Il sangue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i suoi componenti</w:t>
      </w:r>
      <w:r>
        <w:rPr>
          <w:rFonts w:ascii="Times New Roman" w:hAnsi="Times New Roman" w:cs="Times New Roman"/>
          <w:bCs/>
          <w:sz w:val="28"/>
          <w:szCs w:val="28"/>
        </w:rPr>
        <w:br/>
        <w:t>La membrana eritrocitaria</w:t>
      </w:r>
      <w:r>
        <w:rPr>
          <w:rFonts w:ascii="Times New Roman" w:hAnsi="Times New Roman" w:cs="Times New Roman"/>
          <w:bCs/>
          <w:sz w:val="28"/>
          <w:szCs w:val="28"/>
        </w:rPr>
        <w:br/>
        <w:t>Definizione di sistema gruppo – ematico</w:t>
      </w:r>
      <w:r>
        <w:rPr>
          <w:rFonts w:ascii="Times New Roman" w:hAnsi="Times New Roman" w:cs="Times New Roman"/>
          <w:bCs/>
          <w:sz w:val="28"/>
          <w:szCs w:val="28"/>
        </w:rPr>
        <w:br/>
        <w:t>Antigeni dei sistemi gruppo – ematici</w:t>
      </w:r>
      <w:r>
        <w:rPr>
          <w:rFonts w:ascii="Times New Roman" w:hAnsi="Times New Roman" w:cs="Times New Roman"/>
          <w:bCs/>
          <w:sz w:val="28"/>
          <w:szCs w:val="28"/>
        </w:rPr>
        <w:br/>
        <w:t>Genetica</w:t>
      </w:r>
      <w:r>
        <w:rPr>
          <w:rFonts w:ascii="Times New Roman" w:hAnsi="Times New Roman" w:cs="Times New Roman"/>
          <w:bCs/>
          <w:sz w:val="28"/>
          <w:szCs w:val="28"/>
        </w:rPr>
        <w:br/>
        <w:t>Biochimica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Modalità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di identificazione</w:t>
      </w:r>
      <w:r>
        <w:rPr>
          <w:rFonts w:ascii="Times New Roman" w:hAnsi="Times New Roman" w:cs="Times New Roman"/>
          <w:bCs/>
          <w:sz w:val="28"/>
          <w:szCs w:val="28"/>
        </w:rPr>
        <w:br/>
        <w:t>Anticorpi dei sistemi gruppo – ematici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Alloimmunizzazione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Sistema ABO e correlati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ABO,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Lewis,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P,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Lutheran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  <w:t xml:space="preserve">Distribuzione degli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alloantigeni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A, B, H,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Le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Sistema ABH</w:t>
      </w:r>
      <w:r>
        <w:rPr>
          <w:rFonts w:ascii="Times New Roman" w:hAnsi="Times New Roman" w:cs="Times New Roman"/>
          <w:bCs/>
          <w:sz w:val="28"/>
          <w:szCs w:val="28"/>
        </w:rPr>
        <w:br/>
        <w:t>Il fenotipo Bombay</w:t>
      </w:r>
      <w:r>
        <w:rPr>
          <w:rFonts w:ascii="Times New Roman" w:hAnsi="Times New Roman" w:cs="Times New Roman"/>
          <w:bCs/>
          <w:sz w:val="28"/>
          <w:szCs w:val="28"/>
        </w:rPr>
        <w:br/>
        <w:t>Principali genotipi e fenotipo ABO</w:t>
      </w:r>
      <w:r>
        <w:rPr>
          <w:rFonts w:ascii="Times New Roman" w:hAnsi="Times New Roman" w:cs="Times New Roman"/>
          <w:bCs/>
          <w:sz w:val="28"/>
          <w:szCs w:val="28"/>
        </w:rPr>
        <w:br/>
        <w:t>Varianti A deboli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Tipizzazione ABO, test sul vetrino,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test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microcolonna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(sfere o gel)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Sistemi immunogeni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Genetica del sistema Rh</w:t>
      </w:r>
      <w:r>
        <w:rPr>
          <w:rFonts w:ascii="Times New Roman" w:hAnsi="Times New Roman" w:cs="Times New Roman"/>
          <w:bCs/>
          <w:sz w:val="28"/>
          <w:szCs w:val="28"/>
        </w:rPr>
        <w:br/>
        <w:t>Polimorfismo del sistema Rh</w:t>
      </w:r>
      <w:r>
        <w:rPr>
          <w:rFonts w:ascii="Times New Roman" w:hAnsi="Times New Roman" w:cs="Times New Roman"/>
          <w:bCs/>
          <w:sz w:val="28"/>
          <w:szCs w:val="28"/>
        </w:rPr>
        <w:br/>
        <w:t>Varianti del D</w:t>
      </w:r>
      <w:r>
        <w:rPr>
          <w:rFonts w:ascii="Times New Roman" w:hAnsi="Times New Roman" w:cs="Times New Roman"/>
          <w:bCs/>
          <w:sz w:val="28"/>
          <w:szCs w:val="28"/>
        </w:rPr>
        <w:br/>
        <w:t>Varianti quantitative</w:t>
      </w:r>
      <w:r>
        <w:rPr>
          <w:rFonts w:ascii="Times New Roman" w:hAnsi="Times New Roman" w:cs="Times New Roman"/>
          <w:bCs/>
          <w:sz w:val="28"/>
          <w:szCs w:val="28"/>
        </w:rPr>
        <w:br/>
        <w:t>Varianti qualitative</w:t>
      </w:r>
      <w:r>
        <w:rPr>
          <w:rFonts w:ascii="Times New Roman" w:hAnsi="Times New Roman" w:cs="Times New Roman"/>
          <w:bCs/>
          <w:sz w:val="28"/>
          <w:szCs w:val="28"/>
        </w:rPr>
        <w:br/>
        <w:t>Antigeni composti</w:t>
      </w:r>
      <w:r>
        <w:rPr>
          <w:rFonts w:ascii="Times New Roman" w:hAnsi="Times New Roman" w:cs="Times New Roman"/>
          <w:bCs/>
          <w:sz w:val="28"/>
          <w:szCs w:val="28"/>
        </w:rPr>
        <w:br/>
        <w:t>Fenotipi depressi o silenti</w:t>
      </w:r>
      <w:r>
        <w:rPr>
          <w:rFonts w:ascii="Times New Roman" w:hAnsi="Times New Roman" w:cs="Times New Roman"/>
          <w:bCs/>
          <w:sz w:val="28"/>
          <w:szCs w:val="28"/>
        </w:rPr>
        <w:br/>
        <w:t>Fenotipi deleti</w:t>
      </w:r>
      <w:r>
        <w:rPr>
          <w:rFonts w:ascii="Times New Roman" w:hAnsi="Times New Roman" w:cs="Times New Roman"/>
          <w:bCs/>
          <w:sz w:val="28"/>
          <w:szCs w:val="28"/>
        </w:rPr>
        <w:br/>
        <w:t>Rh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null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br/>
        <w:t>Antigene LW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Anticorpi del Sistema Rh</w:t>
      </w:r>
      <w:r>
        <w:rPr>
          <w:rFonts w:ascii="Times New Roman" w:hAnsi="Times New Roman" w:cs="Times New Roman"/>
          <w:bCs/>
          <w:sz w:val="28"/>
          <w:szCs w:val="28"/>
        </w:rPr>
        <w:br/>
        <w:t>Compatibilità Rh nella trasfusione di emazie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Incompatibilità Rh: malattie emolitica del neonato (MEN)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 xml:space="preserve">Sistema </w:t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Kell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Sistema </w:t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Duffy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br/>
        <w:t>Sistema Kidd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Sistema </w:t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MNSs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Anticorpi dei sistemi gruppo – ematici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>Cenni sulla struttura delle immunoglobuline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Anticorpi </w:t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antieritrocitari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br/>
        <w:t>Anticorpi “naturali”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Anticorpi immuni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BB2D9E">
        <w:rPr>
          <w:rFonts w:ascii="Times New Roman" w:hAnsi="Times New Roman" w:cs="Times New Roman"/>
          <w:bCs/>
          <w:sz w:val="28"/>
          <w:szCs w:val="28"/>
        </w:rPr>
        <w:t>Definizione di anticorpi regolari, irregolari, caldi, freddi, completi e incompleti</w:t>
      </w:r>
      <w:proofErr w:type="gramEnd"/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Variabilità della fase analitica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>L’analisi dei campioni biologici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Il prelievo di campioni biologici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Esami ematochimici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Emocomponenti ed emoderivati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>Definizione di emocomponenti ed emoderivati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La </w:t>
      </w:r>
      <w:proofErr w:type="gramStart"/>
      <w:r w:rsidR="00BB2D9E">
        <w:rPr>
          <w:rFonts w:ascii="Times New Roman" w:hAnsi="Times New Roman" w:cs="Times New Roman"/>
          <w:bCs/>
          <w:sz w:val="28"/>
          <w:szCs w:val="28"/>
        </w:rPr>
        <w:t>componente</w:t>
      </w:r>
      <w:proofErr w:type="gramEnd"/>
      <w:r w:rsidR="00BB2D9E">
        <w:rPr>
          <w:rFonts w:ascii="Times New Roman" w:hAnsi="Times New Roman" w:cs="Times New Roman"/>
          <w:bCs/>
          <w:sz w:val="28"/>
          <w:szCs w:val="28"/>
        </w:rPr>
        <w:t xml:space="preserve"> cellulare del sangue intero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Emazie concentrate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Concentrati piastrinici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Concentrati di granulociti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Plasma fresco congelato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Emocomponenti di II livello (filtrati, lavati, irradiati</w:t>
      </w:r>
      <w:proofErr w:type="gramStart"/>
      <w:r w:rsidR="00BB2D9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BB2D9E">
        <w:rPr>
          <w:rFonts w:ascii="Times New Roman" w:hAnsi="Times New Roman" w:cs="Times New Roman"/>
          <w:bCs/>
          <w:sz w:val="28"/>
          <w:szCs w:val="28"/>
        </w:rPr>
        <w:br/>
        <w:t>Albumina, fibrinogeno, immunoglobuline, fattori della coagulazione concentrati.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Indagini pretrasfusionali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>Ricerca di anticorpi irregolari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Prove di compatibilità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Type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t xml:space="preserve"> and screen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Terapia trasfusionale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t>Concentrati eritrocitari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Concentrati piastrinici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Plasma fresco congelato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Fattori della coagulazione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Concentrati leucocitari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Protocolli e procedure trasfusionali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Richiesta trasfusionale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>Consenso informato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BB2D9E">
        <w:rPr>
          <w:rFonts w:ascii="Times New Roman" w:hAnsi="Times New Roman" w:cs="Times New Roman"/>
          <w:bCs/>
          <w:sz w:val="28"/>
          <w:szCs w:val="28"/>
        </w:rPr>
        <w:t>Reazioni trasfusionali: acute, ritardate, emolitiche, non emolitiche</w:t>
      </w:r>
      <w:proofErr w:type="gramEnd"/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 Gestione delle reazioni trasfusionali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  <w:t xml:space="preserve">TA – </w:t>
      </w:r>
      <w:proofErr w:type="spellStart"/>
      <w:r w:rsidR="00BB2D9E">
        <w:rPr>
          <w:rFonts w:ascii="Times New Roman" w:hAnsi="Times New Roman" w:cs="Times New Roman"/>
          <w:bCs/>
          <w:sz w:val="28"/>
          <w:szCs w:val="28"/>
        </w:rPr>
        <w:t>GvHD</w:t>
      </w:r>
      <w:proofErr w:type="spellEnd"/>
      <w:r w:rsidR="00BB2D9E">
        <w:rPr>
          <w:rFonts w:ascii="Times New Roman" w:hAnsi="Times New Roman" w:cs="Times New Roman"/>
          <w:bCs/>
          <w:sz w:val="28"/>
          <w:szCs w:val="28"/>
        </w:rPr>
        <w:br/>
        <w:t>TRALI</w:t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BB2D9E">
        <w:rPr>
          <w:rFonts w:ascii="Times New Roman" w:hAnsi="Times New Roman" w:cs="Times New Roman"/>
          <w:bCs/>
          <w:sz w:val="28"/>
          <w:szCs w:val="28"/>
        </w:rPr>
        <w:t>Indicazioni all’uso di emocomponenti di II livello</w:t>
      </w:r>
      <w:proofErr w:type="gramEnd"/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Cs/>
          <w:sz w:val="28"/>
          <w:szCs w:val="28"/>
        </w:rPr>
        <w:br/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t>Aferesi produttiva e terapeutica</w:t>
      </w:r>
      <w:r w:rsidR="00BB2D9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D52F48">
        <w:rPr>
          <w:rFonts w:ascii="Times New Roman" w:hAnsi="Times New Roman" w:cs="Times New Roman"/>
          <w:bCs/>
          <w:sz w:val="28"/>
          <w:szCs w:val="28"/>
        </w:rPr>
        <w:t>Separatori cellulari a flusso continuo e a flusso discontinuo</w:t>
      </w:r>
      <w:proofErr w:type="gramEnd"/>
      <w:r w:rsidR="00D52F48">
        <w:rPr>
          <w:rFonts w:ascii="Times New Roman" w:hAnsi="Times New Roman" w:cs="Times New Roman"/>
          <w:bCs/>
          <w:sz w:val="28"/>
          <w:szCs w:val="28"/>
        </w:rPr>
        <w:br/>
        <w:t>Aferesi multicomponente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  <w:t>Concentrati da singolo donatore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D52F48">
        <w:rPr>
          <w:rFonts w:ascii="Times New Roman" w:hAnsi="Times New Roman" w:cs="Times New Roman"/>
          <w:bCs/>
          <w:sz w:val="28"/>
          <w:szCs w:val="28"/>
        </w:rPr>
        <w:t>La raccolta di cellule staminali da sangue periferico</w:t>
      </w:r>
      <w:proofErr w:type="gramEnd"/>
      <w:r w:rsidR="00D52F4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D52F48">
        <w:rPr>
          <w:rFonts w:ascii="Times New Roman" w:hAnsi="Times New Roman" w:cs="Times New Roman"/>
          <w:bCs/>
          <w:sz w:val="28"/>
          <w:szCs w:val="28"/>
        </w:rPr>
        <w:t>Plasmaexchange</w:t>
      </w:r>
      <w:proofErr w:type="spellEnd"/>
      <w:r w:rsidR="00D52F48">
        <w:rPr>
          <w:rFonts w:ascii="Times New Roman" w:hAnsi="Times New Roman" w:cs="Times New Roman"/>
          <w:bCs/>
          <w:sz w:val="28"/>
          <w:szCs w:val="28"/>
        </w:rPr>
        <w:br/>
        <w:t>Aferesi selettiva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  <w:t xml:space="preserve">La </w:t>
      </w:r>
      <w:proofErr w:type="spellStart"/>
      <w:r w:rsidR="00D52F48">
        <w:rPr>
          <w:rFonts w:ascii="Times New Roman" w:hAnsi="Times New Roman" w:cs="Times New Roman"/>
          <w:bCs/>
          <w:sz w:val="28"/>
          <w:szCs w:val="28"/>
        </w:rPr>
        <w:t>fotoaferesi</w:t>
      </w:r>
      <w:proofErr w:type="spellEnd"/>
      <w:r w:rsidR="00D52F48">
        <w:rPr>
          <w:rFonts w:ascii="Times New Roman" w:hAnsi="Times New Roman" w:cs="Times New Roman"/>
          <w:bCs/>
          <w:sz w:val="28"/>
          <w:szCs w:val="28"/>
        </w:rPr>
        <w:br/>
      </w:r>
      <w:r w:rsidR="00D52F48">
        <w:rPr>
          <w:rFonts w:ascii="Times New Roman" w:hAnsi="Times New Roman" w:cs="Times New Roman"/>
          <w:b/>
          <w:bCs/>
          <w:sz w:val="28"/>
          <w:szCs w:val="28"/>
        </w:rPr>
        <w:br/>
        <w:t>La legge trasfusionale</w:t>
      </w:r>
      <w:r w:rsidR="00D52F4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52F48">
        <w:rPr>
          <w:rFonts w:ascii="Times New Roman" w:hAnsi="Times New Roman" w:cs="Times New Roman"/>
          <w:bCs/>
          <w:sz w:val="28"/>
          <w:szCs w:val="28"/>
        </w:rPr>
        <w:t>Responsabilità individuale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  <w:t>Criteri di protezione del donatore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  <w:t>Criteri di protezione del ricevente</w:t>
      </w:r>
      <w:r w:rsidR="00D52F48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D52F48">
        <w:rPr>
          <w:rFonts w:ascii="Times New Roman" w:hAnsi="Times New Roman" w:cs="Times New Roman"/>
          <w:bCs/>
          <w:sz w:val="28"/>
          <w:szCs w:val="28"/>
        </w:rPr>
        <w:t>Normativa in vigore, obblighi dei professionisti sanitari</w:t>
      </w:r>
      <w:proofErr w:type="gramEnd"/>
      <w:r w:rsidR="00D52F48">
        <w:rPr>
          <w:rFonts w:ascii="Times New Roman" w:hAnsi="Times New Roman" w:cs="Times New Roman"/>
          <w:bCs/>
          <w:sz w:val="28"/>
          <w:szCs w:val="28"/>
        </w:rPr>
        <w:br/>
        <w:t>Emovigilanza</w:t>
      </w:r>
      <w:bookmarkStart w:id="0" w:name="_GoBack"/>
      <w:bookmarkEnd w:id="0"/>
      <w:r w:rsidR="00D52F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674A8" w:rsidRPr="00D52F48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2"/>
    <w:rsid w:val="00087E54"/>
    <w:rsid w:val="000D2225"/>
    <w:rsid w:val="002674A8"/>
    <w:rsid w:val="00537148"/>
    <w:rsid w:val="00BB2D9E"/>
    <w:rsid w:val="00D52F48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F7D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410</Words>
  <Characters>2338</Characters>
  <Application>Microsoft Macintosh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2015-12-15T18:55:00Z</dcterms:created>
  <dcterms:modified xsi:type="dcterms:W3CDTF">2015-12-21T10:53:00Z</dcterms:modified>
</cp:coreProperties>
</file>