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</w:t>
      </w:r>
      <w:r w:rsidR="00DF02BD">
        <w:rPr>
          <w:rFonts w:ascii="Arial" w:hAnsi="Arial" w:cs="Arial"/>
          <w:b/>
          <w:sz w:val="18"/>
          <w:szCs w:val="18"/>
        </w:rPr>
        <w:t>Attività seminariale</w:t>
      </w:r>
      <w:r w:rsidR="0022631D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920105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F02BD">
        <w:rPr>
          <w:rFonts w:ascii="Arial" w:hAnsi="Arial" w:cs="Arial"/>
          <w:sz w:val="18"/>
          <w:szCs w:val="18"/>
        </w:rPr>
        <w:t>II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F02BD">
        <w:rPr>
          <w:rFonts w:ascii="Arial" w:hAnsi="Arial" w:cs="Arial"/>
          <w:sz w:val="18"/>
          <w:szCs w:val="18"/>
        </w:rPr>
        <w:t>Attività (Seminario)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2BD">
        <w:rPr>
          <w:rFonts w:ascii="Arial" w:hAnsi="Arial" w:cs="Arial"/>
          <w:sz w:val="18"/>
          <w:szCs w:val="18"/>
        </w:rPr>
        <w:t>activity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DF02BD">
        <w:rPr>
          <w:rFonts w:ascii="Arial" w:hAnsi="Arial" w:cs="Arial"/>
          <w:b/>
          <w:sz w:val="18"/>
          <w:szCs w:val="18"/>
        </w:rPr>
        <w:t>Raffaele Izzo</w:t>
      </w:r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DF02BD" w:rsidRPr="00DF02BD">
          <w:rPr>
            <w:rStyle w:val="Collegamentoipertestuale"/>
            <w:rFonts w:ascii="Verdana" w:hAnsi="Verdana" w:cs="Arial"/>
            <w:color w:val="auto"/>
            <w:sz w:val="18"/>
            <w:szCs w:val="18"/>
          </w:rPr>
          <w:t>raffizz53@libero.it</w:t>
        </w:r>
      </w:hyperlink>
      <w:r w:rsidR="00ED0217">
        <w:rPr>
          <w:rFonts w:ascii="Arial" w:hAnsi="Arial" w:cs="Arial"/>
          <w:b/>
          <w:sz w:val="18"/>
          <w:szCs w:val="18"/>
        </w:rPr>
        <w:tab/>
      </w:r>
      <w:r w:rsidR="00ED0217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0C6E04" w:rsidRPr="000C6E04" w:rsidRDefault="000C6E04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studenti devono dimostrare di aver appreso gli elementi utili per l’approccio professionale alle patologie della comunicazione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>Potenziali evocati e loro correlati nella percezione e nella comprensione verbale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 xml:space="preserve">Sordità centrali e loro correlati nella </w:t>
      </w:r>
      <w:proofErr w:type="gramStart"/>
      <w:r w:rsidRPr="00DF02BD">
        <w:rPr>
          <w:bCs/>
          <w:sz w:val="18"/>
          <w:szCs w:val="18"/>
        </w:rPr>
        <w:t>produzione  e</w:t>
      </w:r>
      <w:proofErr w:type="gramEnd"/>
      <w:r w:rsidRPr="00DF02BD">
        <w:rPr>
          <w:bCs/>
          <w:sz w:val="18"/>
          <w:szCs w:val="18"/>
        </w:rPr>
        <w:t xml:space="preserve"> comprensione verbale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>Pragmatica della comunicazione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>Il disturbo semantico pragmatico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 xml:space="preserve">Disturbo dello spettro </w:t>
      </w:r>
      <w:r w:rsidR="000C6E04">
        <w:rPr>
          <w:bCs/>
          <w:sz w:val="18"/>
          <w:szCs w:val="18"/>
        </w:rPr>
        <w:t>autistico</w:t>
      </w:r>
      <w:r w:rsidRPr="00DF02BD">
        <w:rPr>
          <w:bCs/>
          <w:sz w:val="18"/>
          <w:szCs w:val="18"/>
        </w:rPr>
        <w:t xml:space="preserve"> e correlati acustico percettivi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>Ipoacusie trasmissive e ricadute sul linguaggio in età evolutiva</w:t>
      </w:r>
    </w:p>
    <w:p w:rsidR="00ED0217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7508E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DF02BD" w:rsidRDefault="00DF02B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F02BD">
        <w:rPr>
          <w:rFonts w:ascii="Arial" w:hAnsi="Arial" w:cs="Arial"/>
          <w:color w:val="000000"/>
          <w:sz w:val="18"/>
          <w:szCs w:val="18"/>
          <w:lang w:val="en-US"/>
        </w:rPr>
        <w:t xml:space="preserve">Evoked potentials and their correlates in verbal perception and comprehension Central deafness and their correlates in verbal production and comprehension Pragmatics of communication </w:t>
      </w:r>
      <w:proofErr w:type="gramStart"/>
      <w:r w:rsidRPr="00DF02BD">
        <w:rPr>
          <w:rFonts w:ascii="Arial" w:hAnsi="Arial" w:cs="Arial"/>
          <w:color w:val="000000"/>
          <w:sz w:val="18"/>
          <w:szCs w:val="18"/>
          <w:lang w:val="en-US"/>
        </w:rPr>
        <w:t>The</w:t>
      </w:r>
      <w:proofErr w:type="gramEnd"/>
      <w:r w:rsidRPr="00DF02BD">
        <w:rPr>
          <w:rFonts w:ascii="Arial" w:hAnsi="Arial" w:cs="Arial"/>
          <w:color w:val="000000"/>
          <w:sz w:val="18"/>
          <w:szCs w:val="18"/>
          <w:lang w:val="en-US"/>
        </w:rPr>
        <w:t xml:space="preserve"> pragmatic semantic disturbance Artistic spectrum disorder and perceptive acoustic correlates Transmission </w:t>
      </w:r>
      <w:proofErr w:type="spellStart"/>
      <w:r w:rsidRPr="00DF02BD">
        <w:rPr>
          <w:rFonts w:ascii="Arial" w:hAnsi="Arial" w:cs="Arial"/>
          <w:color w:val="000000"/>
          <w:sz w:val="18"/>
          <w:szCs w:val="18"/>
          <w:lang w:val="en-US"/>
        </w:rPr>
        <w:t>hypoacusis</w:t>
      </w:r>
      <w:proofErr w:type="spellEnd"/>
      <w:r w:rsidRPr="00DF02BD">
        <w:rPr>
          <w:rFonts w:ascii="Arial" w:hAnsi="Arial" w:cs="Arial"/>
          <w:color w:val="000000"/>
          <w:sz w:val="18"/>
          <w:szCs w:val="18"/>
          <w:lang w:val="en-US"/>
        </w:rPr>
        <w:t xml:space="preserve"> and relapses on language in developmental age</w:t>
      </w:r>
    </w:p>
    <w:p w:rsidR="001A5D2C" w:rsidRPr="00ED0217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D0217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DF02B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DF02B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F02BD" w:rsidRDefault="00D84328" w:rsidP="00D84328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DF02BD">
        <w:rPr>
          <w:rFonts w:ascii="Arial" w:hAnsi="Arial" w:cs="Arial"/>
          <w:b/>
          <w:sz w:val="18"/>
          <w:szCs w:val="18"/>
          <w:lang w:val="en-US"/>
        </w:rPr>
        <w:t>Modalità</w:t>
      </w:r>
      <w:proofErr w:type="spellEnd"/>
      <w:r w:rsidRPr="00DF02BD">
        <w:rPr>
          <w:rFonts w:ascii="Arial" w:hAnsi="Arial" w:cs="Arial"/>
          <w:b/>
          <w:sz w:val="18"/>
          <w:szCs w:val="18"/>
          <w:lang w:val="en-US"/>
        </w:rPr>
        <w:t xml:space="preserve"> di </w:t>
      </w:r>
      <w:proofErr w:type="spellStart"/>
      <w:r w:rsidRPr="00DF02BD">
        <w:rPr>
          <w:rFonts w:ascii="Arial" w:hAnsi="Arial" w:cs="Arial"/>
          <w:b/>
          <w:sz w:val="18"/>
          <w:szCs w:val="18"/>
          <w:lang w:val="en-US"/>
        </w:rPr>
        <w:t>accertamento</w:t>
      </w:r>
      <w:proofErr w:type="spellEnd"/>
      <w:r w:rsidRPr="00DF02BD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gramStart"/>
      <w:r w:rsidRPr="00DF02BD">
        <w:rPr>
          <w:rFonts w:ascii="Arial" w:hAnsi="Arial" w:cs="Arial"/>
          <w:b/>
          <w:sz w:val="18"/>
          <w:szCs w:val="18"/>
          <w:lang w:val="en-US"/>
        </w:rPr>
        <w:t>del</w:t>
      </w:r>
      <w:proofErr w:type="gramEnd"/>
      <w:r w:rsidRPr="00DF02BD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F02BD">
        <w:rPr>
          <w:rFonts w:ascii="Arial" w:hAnsi="Arial" w:cs="Arial"/>
          <w:b/>
          <w:sz w:val="18"/>
          <w:szCs w:val="18"/>
          <w:lang w:val="en-US"/>
        </w:rPr>
        <w:t>profitto</w:t>
      </w:r>
      <w:proofErr w:type="spellEnd"/>
      <w:r w:rsidRPr="00DF02BD"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 w:rsidR="00484C3E" w:rsidRPr="00DF02BD">
        <w:rPr>
          <w:rFonts w:ascii="Arial" w:hAnsi="Arial" w:cs="Arial"/>
          <w:sz w:val="18"/>
          <w:szCs w:val="18"/>
          <w:lang w:val="en-US"/>
        </w:rPr>
        <w:t>Idoneità</w:t>
      </w:r>
      <w:proofErr w:type="spellEnd"/>
    </w:p>
    <w:p w:rsidR="00780FBA" w:rsidRPr="00DF02BD" w:rsidRDefault="00780FBA" w:rsidP="00780FBA">
      <w:pPr>
        <w:pStyle w:val="Paragrafoelenco"/>
        <w:rPr>
          <w:rFonts w:ascii="Arial" w:hAnsi="Arial" w:cs="Arial"/>
          <w:b/>
          <w:sz w:val="18"/>
          <w:szCs w:val="18"/>
          <w:lang w:val="en-US"/>
        </w:rPr>
      </w:pPr>
    </w:p>
    <w:sectPr w:rsidR="00780FBA" w:rsidRPr="00DF02BD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0C6E04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8606E"/>
    <w:rsid w:val="00402114"/>
    <w:rsid w:val="0043676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8B5219"/>
    <w:rsid w:val="009115CC"/>
    <w:rsid w:val="00912771"/>
    <w:rsid w:val="00920105"/>
    <w:rsid w:val="00992DB7"/>
    <w:rsid w:val="00A13B01"/>
    <w:rsid w:val="00A91511"/>
    <w:rsid w:val="00AB4AAB"/>
    <w:rsid w:val="00BF7B1D"/>
    <w:rsid w:val="00D84328"/>
    <w:rsid w:val="00DC36C3"/>
    <w:rsid w:val="00DF02BD"/>
    <w:rsid w:val="00E21633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F24B5-2482-4E0C-9469-C11A4940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fizz53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2019-02-14T10:52:00Z</dcterms:created>
  <dcterms:modified xsi:type="dcterms:W3CDTF">2019-02-14T10:52:00Z</dcterms:modified>
</cp:coreProperties>
</file>