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BE" w:rsidRDefault="00A83B2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Corso di Studio M86 - Laurea Triennale in Tecniche </w:t>
      </w:r>
      <w:proofErr w:type="spellStart"/>
      <w:r>
        <w:rPr>
          <w:rFonts w:ascii="Arial" w:hAnsi="Arial" w:cs="Arial"/>
          <w:b/>
          <w:sz w:val="18"/>
          <w:szCs w:val="18"/>
        </w:rPr>
        <w:t>Audioprotesiche</w:t>
      </w:r>
      <w:proofErr w:type="spellEnd"/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SCHEDA DEL CORSO INTEGRATO </w:t>
      </w:r>
      <w:proofErr w:type="gramStart"/>
      <w:r>
        <w:rPr>
          <w:rFonts w:ascii="Arial" w:hAnsi="Arial" w:cs="Arial"/>
          <w:b/>
          <w:sz w:val="18"/>
          <w:szCs w:val="18"/>
        </w:rPr>
        <w:t>DI  MEDICINA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CLINICA (C4)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A.A. 2020/2021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Anno di corso (II)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Semestre (I)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Insegnamenti</w:t>
      </w:r>
      <w:r>
        <w:rPr>
          <w:rFonts w:ascii="Arial" w:hAnsi="Arial" w:cs="Arial"/>
          <w:sz w:val="18"/>
          <w:szCs w:val="18"/>
        </w:rPr>
        <w:t xml:space="preserve"> :</w:t>
      </w:r>
      <w:proofErr w:type="gramEnd"/>
      <w:r>
        <w:rPr>
          <w:rFonts w:ascii="Arial" w:hAnsi="Arial" w:cs="Arial"/>
          <w:sz w:val="18"/>
          <w:szCs w:val="18"/>
        </w:rPr>
        <w:t xml:space="preserve"> (1) Patologia Clinica. (2) Otorinolaringoiatria (3) Medicina Interna 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Insegnamenti propedeutici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previsti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C.I. B2  Patologia e Medicina </w:t>
      </w:r>
    </w:p>
    <w:p w:rsidR="009823BE" w:rsidRDefault="009823BE">
      <w:pPr>
        <w:rPr>
          <w:rFonts w:ascii="Arial" w:hAnsi="Arial" w:cs="Arial"/>
          <w:sz w:val="18"/>
          <w:szCs w:val="18"/>
        </w:rPr>
      </w:pP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(1): Patologia clinica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Clinical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pathology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Docente: Nella </w:t>
      </w:r>
      <w:proofErr w:type="spellStart"/>
      <w:r>
        <w:rPr>
          <w:rFonts w:ascii="Arial" w:hAnsi="Arial" w:cs="Arial"/>
          <w:b/>
          <w:sz w:val="18"/>
          <w:szCs w:val="18"/>
        </w:rPr>
        <w:t>Prevete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</w:t>
      </w:r>
      <w:r>
        <w:rPr>
          <w:rFonts w:ascii="Arial" w:hAnsi="Arial" w:cs="Arial"/>
          <w:b/>
          <w:sz w:val="18"/>
          <w:szCs w:val="18"/>
        </w:rPr>
        <w:t>ail:nella.prevete@unina.it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tel.: 081/7464213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05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1</w:t>
      </w:r>
    </w:p>
    <w:p w:rsidR="009823BE" w:rsidRDefault="00A83B2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823BE">
        <w:trPr>
          <w:trHeight w:val="383"/>
        </w:trPr>
        <w:tc>
          <w:tcPr>
            <w:tcW w:w="9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E" w:rsidRDefault="00A83B24">
            <w:pPr>
              <w:pStyle w:val="Default"/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Lo studente dovrà aver acquisito le nozioni fondamentali per la valutazione critica e l’interpretazione dei risultati delle principali indagini diag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nostiche di laboratorio nonché dimostrare di avere la padronanza concettuale nelle diverse fasi analitiche e di conoscere le principali metodologie diagnostiche e la loro rilevanza clinica. </w:t>
            </w:r>
            <w:r>
              <w:rPr>
                <w:rStyle w:val="Enfasigrassetto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18"/>
                <w:szCs w:val="18"/>
              </w:rPr>
              <w:t xml:space="preserve"> </w:t>
            </w:r>
          </w:p>
          <w:p w:rsidR="009823BE" w:rsidRDefault="009823BE">
            <w:pPr>
              <w:pStyle w:val="Default"/>
              <w:rPr>
                <w:sz w:val="18"/>
                <w:szCs w:val="18"/>
              </w:rPr>
            </w:pPr>
          </w:p>
        </w:tc>
      </w:tr>
      <w:tr w:rsidR="009823BE">
        <w:trPr>
          <w:trHeight w:val="383"/>
        </w:trPr>
        <w:tc>
          <w:tcPr>
            <w:tcW w:w="9869" w:type="dxa"/>
            <w:tcBorders>
              <w:top w:val="single" w:sz="4" w:space="0" w:color="000000"/>
            </w:tcBorders>
          </w:tcPr>
          <w:p w:rsidR="009823BE" w:rsidRDefault="00982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23BE" w:rsidRDefault="00A83B2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Programma </w:t>
      </w:r>
    </w:p>
    <w:p w:rsidR="009823BE" w:rsidRDefault="009823BE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18"/>
          <w:szCs w:val="18"/>
        </w:rPr>
      </w:pPr>
    </w:p>
    <w:p w:rsidR="009823BE" w:rsidRDefault="00A83B2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Theme="minorHAnsi"/>
          <w:b/>
          <w:bCs/>
          <w:sz w:val="18"/>
          <w:szCs w:val="18"/>
          <w:lang w:eastAsia="en-US"/>
        </w:rPr>
      </w:pPr>
      <w:r>
        <w:rPr>
          <w:rFonts w:eastAsia="Times New Roman"/>
          <w:b/>
          <w:bCs/>
          <w:sz w:val="18"/>
          <w:szCs w:val="18"/>
        </w:rPr>
        <w:t xml:space="preserve">Le indagini di laboratorio nella diagnostica </w:t>
      </w:r>
      <w:r>
        <w:rPr>
          <w:rFonts w:eastAsia="Times New Roman"/>
          <w:b/>
          <w:bCs/>
          <w:sz w:val="18"/>
          <w:szCs w:val="18"/>
        </w:rPr>
        <w:t>endocrinologica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Generalità sugli ormoni ipofisari: significato diagnostico del GH, della PRL, del TSH, dell’FSH, dell’LH, dell’ACTH.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La diagnostica di laboratorio nelle alterazioni della ghiandola tiroidea: ipotiroidismo, ipotiroidismo subclinico, </w:t>
      </w:r>
      <w:r>
        <w:rPr>
          <w:rFonts w:ascii="Arial" w:hAnsi="Arial" w:cs="Arial"/>
          <w:color w:val="000000"/>
          <w:sz w:val="18"/>
          <w:szCs w:val="18"/>
        </w:rPr>
        <w:t>ipertiroidismo, tiroiditi. Ruolo del laboratorio nel gozzo endemico 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Diabete mellito </w:t>
      </w:r>
      <w:r>
        <w:rPr>
          <w:rFonts w:ascii="Arial" w:hAnsi="Arial" w:cs="Arial"/>
          <w:color w:val="000000"/>
          <w:sz w:val="18"/>
          <w:szCs w:val="18"/>
        </w:rPr>
        <w:t>Classificazione del diabete mellito e delle altre forme di alterata tolleranza al glucosio (ADF)  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Il laboratorio nella valutazione delle anemie </w:t>
      </w:r>
      <w:r>
        <w:rPr>
          <w:rFonts w:ascii="Arial" w:hAnsi="Arial" w:cs="Arial"/>
          <w:color w:val="000000"/>
          <w:sz w:val="18"/>
          <w:szCs w:val="18"/>
        </w:rPr>
        <w:t>Cenni di fisiologia del s</w:t>
      </w:r>
      <w:r>
        <w:rPr>
          <w:rFonts w:ascii="Arial" w:hAnsi="Arial" w:cs="Arial"/>
          <w:color w:val="000000"/>
          <w:sz w:val="18"/>
          <w:szCs w:val="18"/>
        </w:rPr>
        <w:t>angue Esame emocromocitometrico; VES Approccio laboratoristico alle anemie  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autoimmuni </w:t>
      </w:r>
      <w:r>
        <w:rPr>
          <w:rFonts w:ascii="Arial" w:hAnsi="Arial" w:cs="Arial"/>
          <w:color w:val="000000"/>
          <w:sz w:val="18"/>
          <w:szCs w:val="18"/>
        </w:rPr>
        <w:t xml:space="preserve">Le principali patologie autoimmuni, Approccio laboratoristico alle principali patologie autoimmuni Indagini di </w:t>
      </w:r>
      <w:r>
        <w:rPr>
          <w:rFonts w:ascii="Arial" w:hAnsi="Arial" w:cs="Arial"/>
          <w:color w:val="000000"/>
          <w:sz w:val="18"/>
          <w:szCs w:val="18"/>
        </w:rPr>
        <w:t>laboratorio per le reazioni di ipersensibilità, Artrite reumatoide, Lupus Eritematoso Sistemico </w:t>
      </w:r>
      <w:r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La diagnostica di laboratorio delle principali patologie allergiche</w:t>
      </w:r>
      <w:r>
        <w:rPr>
          <w:rFonts w:ascii="Arial" w:hAnsi="Arial" w:cs="Arial"/>
          <w:color w:val="000000"/>
          <w:sz w:val="18"/>
          <w:szCs w:val="18"/>
        </w:rPr>
        <w:t> Meccanismi Diagnostica </w:t>
      </w:r>
      <w:r>
        <w:rPr>
          <w:rFonts w:ascii="Arial" w:hAnsi="Arial" w:cs="Arial"/>
          <w:i/>
          <w:iCs/>
          <w:color w:val="000000"/>
          <w:sz w:val="18"/>
          <w:szCs w:val="18"/>
        </w:rPr>
        <w:t>in vivo</w:t>
      </w:r>
      <w:r>
        <w:rPr>
          <w:rFonts w:ascii="Arial" w:hAnsi="Arial" w:cs="Arial"/>
          <w:color w:val="000000"/>
          <w:sz w:val="18"/>
          <w:szCs w:val="18"/>
        </w:rPr>
        <w:t> Diagnostica </w:t>
      </w:r>
      <w:r>
        <w:rPr>
          <w:rFonts w:ascii="Arial" w:hAnsi="Arial" w:cs="Arial"/>
          <w:i/>
          <w:iCs/>
          <w:color w:val="000000"/>
          <w:sz w:val="18"/>
          <w:szCs w:val="18"/>
        </w:rPr>
        <w:t>in vitro</w:t>
      </w:r>
      <w:r>
        <w:rPr>
          <w:rFonts w:ascii="Arial" w:hAnsi="Arial" w:cs="Arial"/>
          <w:color w:val="000000"/>
          <w:sz w:val="18"/>
          <w:szCs w:val="18"/>
        </w:rPr>
        <w:t>  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Contents</w:t>
      </w:r>
    </w:p>
    <w:p w:rsidR="009823BE" w:rsidRDefault="009823BE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Laboratory investigations in </w:t>
      </w:r>
      <w:proofErr w:type="spellStart"/>
      <w:r>
        <w:rPr>
          <w:rFonts w:ascii="Arial" w:hAnsi="Arial" w:cs="Arial"/>
          <w:b/>
          <w:color w:val="000000"/>
          <w:sz w:val="18"/>
          <w:szCs w:val="18"/>
          <w:lang w:val="en-US"/>
        </w:rPr>
        <w:t>endocrinological</w:t>
      </w:r>
      <w:proofErr w:type="spellEnd"/>
      <w:r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diagnostics 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1. General information on pituitary hormones: diagnostic significance of GH, PRL, TSH, FSH, LH, ACTH. 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2. Laboratory diagnostics in the alterations of the thyroid gland: hypothyroidism, subclinical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hypothyroidism, hyperthyroidism, thyroiditis. Role of the laboratory in the endemic goiter 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Diabetes mellitus Classification of diabetes mellitus and other forms of impaired glucose tolerance (ADF) 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>The laboratory in the evaluation of anemia. Notes on the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physiology of blood. Blood count. VES Laboratory approach to anemia </w:t>
      </w: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Laboratory diagnostics of the main autoimmune diseases </w:t>
      </w:r>
      <w:proofErr w:type="gramStart"/>
      <w:r>
        <w:rPr>
          <w:rFonts w:ascii="Arial" w:hAnsi="Arial" w:cs="Arial"/>
          <w:color w:val="000000"/>
          <w:sz w:val="18"/>
          <w:szCs w:val="18"/>
          <w:lang w:val="en-US"/>
        </w:rPr>
        <w:t>The</w:t>
      </w:r>
      <w:proofErr w:type="gram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 main autoimmune diseases, Laboratory approach to the main autoimmune diseases Laboratory investigations for hypersensitivity re</w:t>
      </w:r>
      <w:r>
        <w:rPr>
          <w:rFonts w:ascii="Arial" w:hAnsi="Arial" w:cs="Arial"/>
          <w:color w:val="000000"/>
          <w:sz w:val="18"/>
          <w:szCs w:val="18"/>
          <w:lang w:val="en-US"/>
        </w:rPr>
        <w:t>actions, Rheumatoid arthritis, Systemic Lupus Erythematosus. Laboratory diagnostics of the main allergic diseases Mechanisms in vivo Diagnostics in vitro</w:t>
      </w:r>
    </w:p>
    <w:p w:rsidR="009823BE" w:rsidRDefault="009823BE">
      <w:pPr>
        <w:pStyle w:val="NormaleWeb"/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(2): Otorinolaringoiatria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Titolo Insegnamento In Inglese: </w:t>
      </w:r>
      <w:proofErr w:type="spellStart"/>
      <w:r>
        <w:rPr>
          <w:rFonts w:ascii="Arial" w:hAnsi="Arial" w:cs="Arial"/>
          <w:b/>
          <w:sz w:val="18"/>
          <w:szCs w:val="18"/>
        </w:rPr>
        <w:t>Otolaringology</w:t>
      </w:r>
      <w:proofErr w:type="spellEnd"/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</w:t>
      </w:r>
      <w:r w:rsidR="00D44DED">
        <w:rPr>
          <w:rFonts w:ascii="Arial" w:hAnsi="Arial" w:cs="Arial"/>
          <w:b/>
          <w:sz w:val="18"/>
          <w:szCs w:val="18"/>
        </w:rPr>
        <w:t xml:space="preserve"> Elena Cantone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e</w:t>
      </w:r>
      <w:r w:rsidR="00D44DED">
        <w:rPr>
          <w:rFonts w:ascii="Arial" w:hAnsi="Arial" w:cs="Arial"/>
          <w:b/>
          <w:sz w:val="18"/>
          <w:szCs w:val="18"/>
        </w:rPr>
        <w:t xml:space="preserve">mail: </w:t>
      </w:r>
      <w:hyperlink r:id="rId4" w:history="1">
        <w:r w:rsidR="00D44DED" w:rsidRPr="001C057A">
          <w:rPr>
            <w:rStyle w:val="Collegamentoipertestuale"/>
            <w:rFonts w:ascii="Arial" w:hAnsi="Arial" w:cs="Arial"/>
            <w:b/>
            <w:sz w:val="18"/>
            <w:szCs w:val="18"/>
          </w:rPr>
          <w:t>elena.cantone@unina.it</w:t>
        </w:r>
      </w:hyperlink>
      <w:r w:rsidR="00D44DE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proofErr w:type="spellStart"/>
      <w:r>
        <w:rPr>
          <w:rFonts w:ascii="Arial" w:hAnsi="Arial" w:cs="Arial"/>
          <w:b/>
          <w:sz w:val="18"/>
          <w:szCs w:val="18"/>
        </w:rPr>
        <w:t>Tel</w:t>
      </w:r>
      <w:proofErr w:type="spellEnd"/>
      <w:r>
        <w:rPr>
          <w:rFonts w:ascii="Arial" w:hAnsi="Arial" w:cs="Arial"/>
          <w:b/>
          <w:sz w:val="18"/>
          <w:szCs w:val="18"/>
        </w:rPr>
        <w:t>: 081/7463592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Docente: Antonella Miriam Di Lullo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email: </w:t>
      </w:r>
      <w:hyperlink r:id="rId5">
        <w:r w:rsidRPr="00A83B24">
          <w:rPr>
            <w:rStyle w:val="CollegamentoInternet"/>
            <w:rFonts w:ascii="Arial" w:hAnsi="Arial" w:cs="Arial"/>
            <w:color w:val="003366"/>
            <w:sz w:val="18"/>
            <w:szCs w:val="18"/>
            <w:highlight w:val="white"/>
          </w:rPr>
          <w:t>antonellamiriam.dilullo@unina.it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</w:t>
      </w:r>
      <w:proofErr w:type="gramStart"/>
      <w:r>
        <w:rPr>
          <w:rFonts w:ascii="Arial" w:hAnsi="Arial" w:cs="Arial"/>
          <w:sz w:val="18"/>
          <w:szCs w:val="18"/>
        </w:rPr>
        <w:t xml:space="preserve">31  </w:t>
      </w:r>
      <w:r>
        <w:rPr>
          <w:rFonts w:ascii="Arial" w:hAnsi="Arial" w:cs="Arial"/>
          <w:sz w:val="18"/>
          <w:szCs w:val="18"/>
        </w:rPr>
        <w:tab/>
      </w:r>
      <w:proofErr w:type="gramEnd"/>
      <w:r>
        <w:rPr>
          <w:rFonts w:ascii="Arial" w:hAnsi="Arial" w:cs="Arial"/>
          <w:sz w:val="18"/>
          <w:szCs w:val="18"/>
        </w:rPr>
        <w:t>CFU: 3</w:t>
      </w:r>
    </w:p>
    <w:p w:rsidR="009823BE" w:rsidRDefault="00A83B2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Risultati di Apprendimen</w:t>
      </w:r>
      <w:r>
        <w:rPr>
          <w:rFonts w:ascii="Arial" w:hAnsi="Arial" w:cs="Arial"/>
          <w:b/>
          <w:sz w:val="18"/>
          <w:szCs w:val="18"/>
        </w:rPr>
        <w:t xml:space="preserve">to Attesi </w:t>
      </w:r>
      <w:bookmarkStart w:id="0" w:name="_GoBack"/>
      <w:bookmarkEnd w:id="0"/>
    </w:p>
    <w:p w:rsidR="009823BE" w:rsidRDefault="00A83B2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 studente deve dimostrare di aver appreso le nozioni delle principali patologie dell’ORL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823BE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E" w:rsidRDefault="00A83B24">
            <w:pPr>
              <w:pStyle w:val="Default"/>
              <w:pBdr>
                <w:top w:val="single" w:sz="4" w:space="1" w:color="000000"/>
              </w:pBd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9823BE" w:rsidRDefault="009823BE">
            <w:pPr>
              <w:pStyle w:val="NormaleWeb"/>
              <w:pBdr>
                <w:top w:val="single" w:sz="4" w:space="1" w:color="000000"/>
              </w:pBdr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23BE" w:rsidRDefault="00A83B2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Patologie dell’orecchio esterno</w:t>
            </w:r>
          </w:p>
          <w:p w:rsidR="009823BE" w:rsidRDefault="00A83B2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 otiti</w:t>
            </w:r>
          </w:p>
          <w:p w:rsidR="009823BE" w:rsidRDefault="00A83B2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Otosclerosi</w:t>
            </w:r>
          </w:p>
          <w:p w:rsidR="009823BE" w:rsidRDefault="00A83B2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Stapedectomia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stapedotomia</w:t>
            </w:r>
            <w:proofErr w:type="spellEnd"/>
          </w:p>
          <w:p w:rsidR="009823BE" w:rsidRDefault="00A83B2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Malattia 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Meniere</w:t>
            </w:r>
            <w:proofErr w:type="spellEnd"/>
          </w:p>
          <w:p w:rsidR="009823BE" w:rsidRDefault="00A83B2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Anatomia della laringe e della faringe</w:t>
            </w:r>
          </w:p>
          <w:p w:rsidR="009823BE" w:rsidRPr="00D44DED" w:rsidRDefault="00A83B24">
            <w:pPr>
              <w:pStyle w:val="NormaleWeb"/>
              <w:spacing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44DED">
              <w:rPr>
                <w:rFonts w:ascii="Arial" w:hAnsi="Arial" w:cs="Arial"/>
                <w:color w:val="000000"/>
                <w:sz w:val="18"/>
                <w:szCs w:val="18"/>
              </w:rPr>
              <w:t>Miringoplastica</w:t>
            </w:r>
            <w:proofErr w:type="spellEnd"/>
            <w:r w:rsidRPr="00D44DED">
              <w:rPr>
                <w:rFonts w:ascii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44DED">
              <w:rPr>
                <w:rFonts w:ascii="Arial" w:hAnsi="Arial" w:cs="Arial"/>
                <w:color w:val="000000"/>
                <w:sz w:val="18"/>
                <w:szCs w:val="18"/>
              </w:rPr>
              <w:t>timpanoplastica</w:t>
            </w:r>
            <w:proofErr w:type="spellEnd"/>
          </w:p>
          <w:p w:rsidR="009823BE" w:rsidRPr="00D44DED" w:rsidRDefault="009823BE">
            <w:pPr>
              <w:pStyle w:val="Default"/>
              <w:rPr>
                <w:sz w:val="18"/>
                <w:szCs w:val="18"/>
              </w:rPr>
            </w:pPr>
          </w:p>
          <w:p w:rsidR="009823BE" w:rsidRPr="00D44DED" w:rsidRDefault="00A83B24">
            <w:pPr>
              <w:rPr>
                <w:b/>
              </w:rPr>
            </w:pPr>
            <w:proofErr w:type="spellStart"/>
            <w:r w:rsidRPr="00D44DED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r w:rsidRPr="00D44DED">
              <w:rPr>
                <w:b/>
              </w:rPr>
              <w:t>ents</w:t>
            </w:r>
            <w:proofErr w:type="spellEnd"/>
          </w:p>
          <w:p w:rsidR="009823BE" w:rsidRPr="00D44DED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44DED"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 w:rsidRPr="00D44D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4DED">
              <w:rPr>
                <w:rFonts w:ascii="Arial" w:hAnsi="Arial" w:cs="Arial"/>
                <w:sz w:val="18"/>
                <w:szCs w:val="18"/>
              </w:rPr>
              <w:t>ear</w:t>
            </w:r>
            <w:proofErr w:type="spellEnd"/>
            <w:r w:rsidRPr="00D44D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44DED">
              <w:rPr>
                <w:rFonts w:ascii="Arial" w:hAnsi="Arial" w:cs="Arial"/>
                <w:sz w:val="18"/>
                <w:szCs w:val="18"/>
              </w:rPr>
              <w:t>disorders</w:t>
            </w:r>
            <w:proofErr w:type="spellEnd"/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Otitis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Otosclerosis</w:t>
            </w:r>
            <w:proofErr w:type="spellEnd"/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Stapedectomy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stapedotomy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Meniere's disease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Anatomy of the larynx and pharynx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Myringoplasty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tympanoplasty</w:t>
            </w:r>
            <w:proofErr w:type="spellEnd"/>
          </w:p>
          <w:p w:rsidR="009823BE" w:rsidRDefault="009823B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823BE" w:rsidRDefault="00A83B24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INSEGNAMENTO (3): Medicina interna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Times New Roman" w:hAnsi="Arial" w:cs="Arial"/>
          <w:b/>
          <w:color w:val="21212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Titolo Insegnamento</w:t>
      </w:r>
      <w:r>
        <w:rPr>
          <w:rFonts w:ascii="Arial" w:hAnsi="Arial" w:cs="Arial"/>
          <w:sz w:val="18"/>
          <w:szCs w:val="18"/>
        </w:rPr>
        <w:t xml:space="preserve"> In Inglese: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12121"/>
          <w:sz w:val="18"/>
          <w:szCs w:val="18"/>
        </w:rPr>
        <w:t>Internal</w:t>
      </w:r>
      <w:proofErr w:type="spellEnd"/>
      <w:r>
        <w:rPr>
          <w:rFonts w:ascii="Arial" w:eastAsia="Times New Roman" w:hAnsi="Arial" w:cs="Arial"/>
          <w:b/>
          <w:color w:val="212121"/>
          <w:sz w:val="18"/>
          <w:szCs w:val="18"/>
        </w:rPr>
        <w:t xml:space="preserve"> medicine</w:t>
      </w:r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Docente:  Giovanni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Di </w:t>
      </w:r>
      <w:proofErr w:type="spellStart"/>
      <w:r>
        <w:rPr>
          <w:rFonts w:ascii="Arial" w:hAnsi="Arial" w:cs="Arial"/>
          <w:b/>
          <w:sz w:val="18"/>
          <w:szCs w:val="18"/>
        </w:rPr>
        <w:t>Minno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email:giovanni.diminno@unina.it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                    </w:t>
      </w:r>
      <w:hyperlink r:id="rId6">
        <w:r>
          <w:rPr>
            <w:rStyle w:val="CollegamentoInternet"/>
            <w:rFonts w:ascii="Arial" w:hAnsi="Arial" w:cs="Arial"/>
            <w:b/>
            <w:sz w:val="18"/>
            <w:szCs w:val="18"/>
          </w:rPr>
          <w:t>Tel:081/7462060</w:t>
        </w:r>
      </w:hyperlink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Docente:   </w:t>
      </w:r>
      <w:proofErr w:type="spellStart"/>
      <w:proofErr w:type="gramEnd"/>
      <w:r>
        <w:rPr>
          <w:b/>
        </w:rPr>
        <w:t>Iannuzzo</w:t>
      </w:r>
      <w:proofErr w:type="spellEnd"/>
      <w:r>
        <w:rPr>
          <w:b/>
        </w:rPr>
        <w:t xml:space="preserve"> Gabriella                   email: </w:t>
      </w:r>
      <w:hyperlink r:id="rId7">
        <w:r>
          <w:rPr>
            <w:rStyle w:val="CollegamentoInternet"/>
            <w:rFonts w:ascii="Helvetica" w:hAnsi="Helvetica" w:cs="Helvetica"/>
            <w:b/>
            <w:color w:val="auto"/>
            <w:sz w:val="19"/>
            <w:szCs w:val="19"/>
            <w:highlight w:val="white"/>
            <w:u w:val="none"/>
          </w:rPr>
          <w:t>gabriella.iannuzzo@unina.it</w:t>
        </w:r>
      </w:hyperlink>
    </w:p>
    <w:p w:rsidR="009823BE" w:rsidRDefault="00A83B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SSD: </w:t>
      </w:r>
      <w:r>
        <w:rPr>
          <w:rFonts w:ascii="Arial" w:hAnsi="Arial" w:cs="Arial"/>
          <w:sz w:val="18"/>
          <w:szCs w:val="18"/>
        </w:rPr>
        <w:tab/>
        <w:t>MED/09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CFU: 2</w:t>
      </w:r>
    </w:p>
    <w:p w:rsidR="009823BE" w:rsidRDefault="00A83B2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Risultati di Apprendimento Attesi </w:t>
      </w:r>
    </w:p>
    <w:p w:rsidR="009823BE" w:rsidRDefault="00A83B24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Gli studenti devono dimostrare di aver acquisito le nozioni fondamentali di medicina generale utili alla professione</w:t>
      </w:r>
    </w:p>
    <w:tbl>
      <w:tblPr>
        <w:tblW w:w="9869" w:type="dxa"/>
        <w:tblLook w:val="0000" w:firstRow="0" w:lastRow="0" w:firstColumn="0" w:lastColumn="0" w:noHBand="0" w:noVBand="0"/>
      </w:tblPr>
      <w:tblGrid>
        <w:gridCol w:w="9869"/>
      </w:tblGrid>
      <w:tr w:rsidR="009823BE">
        <w:trPr>
          <w:trHeight w:val="508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BE" w:rsidRDefault="00A83B2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Programma </w:t>
            </w:r>
          </w:p>
          <w:p w:rsidR="009823BE" w:rsidRDefault="009823BE">
            <w:pPr>
              <w:pStyle w:val="NormaleWeb"/>
              <w:spacing w:beforeAutospacing="0" w:after="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823BE" w:rsidRDefault="00A83B2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1)Rene</w:t>
            </w:r>
            <w:proofErr w:type="gramEnd"/>
          </w:p>
          <w:p w:rsidR="009823BE" w:rsidRDefault="00A83B2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2)Fegato</w:t>
            </w:r>
            <w:proofErr w:type="gramEnd"/>
          </w:p>
          <w:p w:rsidR="009823BE" w:rsidRDefault="00A83B2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3)Cuore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 apparato circolatorio</w:t>
            </w:r>
          </w:p>
          <w:p w:rsidR="009823BE" w:rsidRPr="00D44DED" w:rsidRDefault="00A83B2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44DE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4)</w:t>
            </w:r>
            <w:proofErr w:type="spellStart"/>
            <w:r w:rsidRPr="00D44DE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Ghiandole</w:t>
            </w:r>
            <w:proofErr w:type="spellEnd"/>
            <w:r w:rsidRPr="00D44DE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endocrine</w:t>
            </w:r>
          </w:p>
          <w:p w:rsidR="009823BE" w:rsidRPr="00D44DED" w:rsidRDefault="00A83B24">
            <w:pPr>
              <w:pStyle w:val="Nessunaspaziatura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D44DE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5)</w:t>
            </w:r>
            <w:proofErr w:type="spellStart"/>
            <w:r w:rsidRPr="00D44DED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Sangue</w:t>
            </w:r>
            <w:proofErr w:type="spellEnd"/>
          </w:p>
          <w:p w:rsidR="009823BE" w:rsidRPr="00D44DED" w:rsidRDefault="009823BE">
            <w:pPr>
              <w:pStyle w:val="Nessunaspaziatura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GB"/>
              </w:rPr>
            </w:pPr>
          </w:p>
          <w:p w:rsidR="009823BE" w:rsidRDefault="00A83B24">
            <w:pPr>
              <w:pStyle w:val="Nessunaspaziatura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Contents 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1) Kidney 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2) Liver 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3) Heart and circulatory system 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4) endocrine glands </w:t>
            </w:r>
          </w:p>
          <w:p w:rsidR="009823BE" w:rsidRDefault="00A83B24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5) Blood</w:t>
            </w:r>
          </w:p>
          <w:p w:rsidR="009823BE" w:rsidRDefault="009823BE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823BE" w:rsidRDefault="009823BE">
      <w:pPr>
        <w:rPr>
          <w:rFonts w:ascii="Arial" w:hAnsi="Arial" w:cs="Arial"/>
          <w:b/>
          <w:sz w:val="18"/>
          <w:szCs w:val="18"/>
          <w:lang w:val="en-US"/>
        </w:rPr>
      </w:pPr>
    </w:p>
    <w:p w:rsidR="009823BE" w:rsidRDefault="00A83B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Modalità di accertamento del profitto</w:t>
      </w:r>
      <w:r>
        <w:rPr>
          <w:rFonts w:ascii="Arial" w:hAnsi="Arial" w:cs="Arial"/>
          <w:sz w:val="18"/>
          <w:szCs w:val="18"/>
        </w:rPr>
        <w:t>: Esame</w:t>
      </w:r>
    </w:p>
    <w:sectPr w:rsidR="009823BE">
      <w:pgSz w:w="11906" w:h="16838"/>
      <w:pgMar w:top="1416" w:right="1133" w:bottom="1133" w:left="1133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BE"/>
    <w:rsid w:val="001E0298"/>
    <w:rsid w:val="009823BE"/>
    <w:rsid w:val="00A83B24"/>
    <w:rsid w:val="00D4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BD21F-EB9F-47A3-B9FA-F58E76A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2B49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4645C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3756C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4B3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645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13B01"/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4AA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11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3756C"/>
    <w:pPr>
      <w:spacing w:after="0" w:line="240" w:lineRule="auto"/>
    </w:pPr>
    <w:rPr>
      <w:rFonts w:ascii="Consolas" w:hAnsi="Consolas"/>
      <w:sz w:val="20"/>
      <w:szCs w:val="20"/>
    </w:rPr>
  </w:style>
  <w:style w:type="paragraph" w:styleId="Nessunaspaziatura">
    <w:name w:val="No Spacing"/>
    <w:uiPriority w:val="1"/>
    <w:qFormat/>
    <w:rsid w:val="00261AA1"/>
  </w:style>
  <w:style w:type="character" w:styleId="Collegamentoipertestuale">
    <w:name w:val="Hyperlink"/>
    <w:basedOn w:val="Carpredefinitoparagrafo"/>
    <w:uiPriority w:val="99"/>
    <w:unhideWhenUsed/>
    <w:rsid w:val="00D44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briella.iannuzzo@uni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81/7462060" TargetMode="External"/><Relationship Id="rId5" Type="http://schemas.openxmlformats.org/officeDocument/2006/relationships/hyperlink" Target="mailto:antonellamiriam.dilullo@unina.it" TargetMode="External"/><Relationship Id="rId4" Type="http://schemas.openxmlformats.org/officeDocument/2006/relationships/hyperlink" Target="mailto:elena.cantone@unina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669</Words>
  <Characters>3815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loreto flamma</cp:lastModifiedBy>
  <cp:revision>11</cp:revision>
  <cp:lastPrinted>2017-11-20T09:15:00Z</cp:lastPrinted>
  <dcterms:created xsi:type="dcterms:W3CDTF">2019-11-04T08:57:00Z</dcterms:created>
  <dcterms:modified xsi:type="dcterms:W3CDTF">2021-01-05T08:28:00Z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