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58" w:rsidRPr="00DC6258" w:rsidRDefault="00DC6258" w:rsidP="00DC6258">
      <w:pPr>
        <w:spacing w:line="276" w:lineRule="auto"/>
        <w:jc w:val="center"/>
        <w:outlineLvl w:val="3"/>
        <w:rPr>
          <w:b/>
          <w:bCs/>
          <w:sz w:val="24"/>
        </w:rPr>
      </w:pPr>
      <w:r w:rsidRPr="00DC6258">
        <w:rPr>
          <w:b/>
          <w:bCs/>
          <w:sz w:val="24"/>
        </w:rPr>
        <w:t>Corso di laurea magistrale in Scienze infermieristiche ed Ostetriche II ANNO</w:t>
      </w:r>
    </w:p>
    <w:p w:rsidR="00DC6258" w:rsidRDefault="00A03C7E" w:rsidP="00DC6258">
      <w:pPr>
        <w:spacing w:line="276" w:lineRule="auto"/>
        <w:jc w:val="center"/>
        <w:outlineLvl w:val="3"/>
        <w:rPr>
          <w:b/>
          <w:bCs/>
        </w:rPr>
      </w:pPr>
      <w:r>
        <w:rPr>
          <w:b/>
        </w:rPr>
        <w:t>SCHEDA DELL’ INSEGNAMENTO DI C.I.</w:t>
      </w:r>
      <w:r w:rsidR="00DC6258">
        <w:rPr>
          <w:b/>
          <w:bCs/>
        </w:rPr>
        <w:t>:</w:t>
      </w:r>
      <w:r w:rsidR="00DC6258" w:rsidRPr="00BD308B">
        <w:rPr>
          <w:b/>
          <w:bCs/>
        </w:rPr>
        <w:t xml:space="preserve"> Organizzazione e Gestione delle Risorse Umane</w:t>
      </w:r>
    </w:p>
    <w:p w:rsidR="00DC6258" w:rsidRDefault="00DC6258" w:rsidP="00DC6258">
      <w:pPr>
        <w:jc w:val="center"/>
        <w:rPr>
          <w:b/>
        </w:rPr>
      </w:pPr>
      <w:r w:rsidRPr="00B201DE">
        <w:rPr>
          <w:b/>
        </w:rPr>
        <w:t>Modulo</w:t>
      </w:r>
      <w:r w:rsidRPr="00CA4314">
        <w:rPr>
          <w:b/>
          <w:bCs/>
        </w:rPr>
        <w:t xml:space="preserve"> </w:t>
      </w:r>
      <w:r w:rsidR="00A03C7E">
        <w:rPr>
          <w:b/>
          <w:bCs/>
        </w:rPr>
        <w:t xml:space="preserve">MED/09 - </w:t>
      </w:r>
      <w:r>
        <w:rPr>
          <w:b/>
          <w:bCs/>
        </w:rPr>
        <w:t>Medicina Interna</w:t>
      </w:r>
      <w:r w:rsidRPr="00B201DE">
        <w:rPr>
          <w:b/>
        </w:rPr>
        <w:t xml:space="preserve"> </w:t>
      </w:r>
    </w:p>
    <w:p w:rsidR="00DC6258" w:rsidRPr="00246E86" w:rsidRDefault="00DC6258" w:rsidP="00DC6258">
      <w:pPr>
        <w:jc w:val="center"/>
        <w:rPr>
          <w:b/>
        </w:rPr>
      </w:pPr>
      <w:r w:rsidRPr="00246E86">
        <w:rPr>
          <w:b/>
        </w:rPr>
        <w:t xml:space="preserve">TITOLO INSEGNAMENTO IN INGLESE: Organization and Management of Human Resources </w:t>
      </w:r>
    </w:p>
    <w:p w:rsidR="00DC6258" w:rsidRDefault="00DC6258" w:rsidP="00DC6258">
      <w:pPr>
        <w:rPr>
          <w:b/>
          <w:u w:val="single"/>
        </w:rPr>
      </w:pPr>
      <w:r w:rsidRPr="00B201DE">
        <w:rPr>
          <w:b/>
        </w:rPr>
        <w:t>Corso di Studio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5637C">
        <w:rPr>
          <w:b/>
        </w:rPr>
        <w:tab/>
        <w:t xml:space="preserve"> </w:t>
      </w:r>
      <w:r w:rsidR="0005637C" w:rsidRPr="00B201DE">
        <w:rPr>
          <w:b/>
        </w:rPr>
        <w:t>Insegnamento</w:t>
      </w:r>
      <w:r>
        <w:rPr>
          <w:b/>
        </w:rPr>
        <w:tab/>
      </w:r>
      <w:r w:rsidRPr="001910F9">
        <w:rPr>
          <w:b/>
        </w:rPr>
        <w:t xml:space="preserve">Laurea/ </w:t>
      </w:r>
      <w:r w:rsidRPr="001910F9">
        <w:rPr>
          <w:b/>
        </w:rPr>
        <w:tab/>
      </w:r>
      <w:r w:rsidRPr="001910F9">
        <w:rPr>
          <w:b/>
        </w:rPr>
        <w:tab/>
      </w:r>
      <w:r w:rsidRPr="001910F9">
        <w:rPr>
          <w:b/>
        </w:rPr>
        <w:tab/>
      </w:r>
      <w:r w:rsidR="00AA29EF">
        <w:rPr>
          <w:b/>
        </w:rPr>
        <w:t>A.A. 2020/2021</w:t>
      </w:r>
      <w:bookmarkStart w:id="0" w:name="_GoBack"/>
      <w:bookmarkEnd w:id="0"/>
      <w:r w:rsidRPr="001910F9">
        <w:rPr>
          <w:b/>
        </w:rPr>
        <w:t xml:space="preserve">                                   </w:t>
      </w:r>
      <w:r w:rsidR="00C6548D">
        <w:rPr>
          <w:b/>
        </w:rPr>
        <w:t xml:space="preserve">L.M. Sc. </w:t>
      </w:r>
      <w:r w:rsidR="00201C46">
        <w:rPr>
          <w:b/>
        </w:rPr>
        <w:t>Infermieristiche</w:t>
      </w:r>
      <w:r w:rsidR="00201C46" w:rsidRPr="001910F9">
        <w:rPr>
          <w:b/>
        </w:rPr>
        <w:t xml:space="preserve"> ed</w:t>
      </w:r>
      <w:r w:rsidR="007C49F2">
        <w:rPr>
          <w:b/>
        </w:rPr>
        <w:t xml:space="preserve"> Ostetriche           </w:t>
      </w:r>
      <w:r w:rsidRPr="00CA4314">
        <w:rPr>
          <w:b/>
          <w:u w:val="single"/>
        </w:rPr>
        <w:t>Laurea Magistrale</w:t>
      </w:r>
    </w:p>
    <w:p w:rsidR="00DC6258" w:rsidRDefault="0005637C" w:rsidP="00DC6258">
      <w:pPr>
        <w:rPr>
          <w:b/>
        </w:rPr>
      </w:pPr>
      <w:r>
        <w:rPr>
          <w:b/>
        </w:rPr>
        <w:t>Docente:</w:t>
      </w:r>
      <w:r w:rsidR="00DC6258" w:rsidRPr="003B4493">
        <w:rPr>
          <w:b/>
        </w:rPr>
        <w:t xml:space="preserve"> </w:t>
      </w:r>
      <w:r w:rsidR="00DC6258">
        <w:rPr>
          <w:b/>
        </w:rPr>
        <w:t>Mario Petretta</w:t>
      </w:r>
      <w:r w:rsidR="00DC6258" w:rsidRPr="003B4493">
        <w:rPr>
          <w:b/>
        </w:rPr>
        <w:t xml:space="preserve">                               TEL.</w:t>
      </w:r>
      <w:r w:rsidR="00DC6258">
        <w:rPr>
          <w:b/>
        </w:rPr>
        <w:t xml:space="preserve"> 081-</w:t>
      </w:r>
      <w:r>
        <w:rPr>
          <w:b/>
        </w:rPr>
        <w:t>7462208</w:t>
      </w:r>
      <w:r w:rsidRPr="003B4493">
        <w:rPr>
          <w:b/>
        </w:rPr>
        <w:t xml:space="preserve"> </w:t>
      </w:r>
      <w:r w:rsidRPr="003B4493">
        <w:rPr>
          <w:b/>
        </w:rPr>
        <w:tab/>
      </w:r>
      <w:r w:rsidR="00DC6258">
        <w:rPr>
          <w:b/>
        </w:rPr>
        <w:tab/>
        <w:t xml:space="preserve">       </w:t>
      </w:r>
      <w:r w:rsidR="00DC6258" w:rsidRPr="003B4493">
        <w:rPr>
          <w:b/>
        </w:rPr>
        <w:t>email:</w:t>
      </w:r>
      <w:r w:rsidR="00DC6258">
        <w:rPr>
          <w:b/>
        </w:rPr>
        <w:t xml:space="preserve"> mario.petretta@unina.it</w:t>
      </w:r>
    </w:p>
    <w:p w:rsidR="00DC6258" w:rsidRPr="003B4493" w:rsidRDefault="00DC6258" w:rsidP="00DC6258">
      <w:pPr>
        <w:rPr>
          <w:b/>
        </w:rPr>
      </w:pPr>
      <w:r w:rsidRPr="003B4493">
        <w:rPr>
          <w:b/>
        </w:rPr>
        <w:t>SSD</w:t>
      </w:r>
      <w:r>
        <w:rPr>
          <w:b/>
        </w:rPr>
        <w:t>: MED/09</w:t>
      </w:r>
      <w:r w:rsidRPr="003B4493">
        <w:rPr>
          <w:b/>
        </w:rPr>
        <w:tab/>
      </w:r>
      <w:r w:rsidRPr="003B4493">
        <w:rPr>
          <w:b/>
        </w:rPr>
        <w:tab/>
      </w:r>
      <w:r w:rsidR="0005637C">
        <w:rPr>
          <w:b/>
        </w:rPr>
        <w:tab/>
        <w:t xml:space="preserve"> CFU</w:t>
      </w:r>
      <w:r>
        <w:rPr>
          <w:b/>
        </w:rPr>
        <w:t>: 1</w:t>
      </w:r>
      <w:r w:rsidRPr="003B4493">
        <w:rPr>
          <w:b/>
        </w:rPr>
        <w:t xml:space="preserve"> </w:t>
      </w:r>
      <w:r w:rsidRPr="003B4493">
        <w:rPr>
          <w:b/>
        </w:rPr>
        <w:tab/>
      </w:r>
      <w:r>
        <w:rPr>
          <w:b/>
        </w:rPr>
        <w:tab/>
        <w:t xml:space="preserve">     </w:t>
      </w:r>
      <w:r w:rsidRPr="003B4493">
        <w:rPr>
          <w:b/>
        </w:rPr>
        <w:t>Anno di corso</w:t>
      </w:r>
      <w:r>
        <w:rPr>
          <w:b/>
        </w:rPr>
        <w:t xml:space="preserve">: </w:t>
      </w:r>
      <w:r w:rsidRPr="003B4493">
        <w:rPr>
          <w:b/>
        </w:rPr>
        <w:t>II                         Semestre</w:t>
      </w:r>
      <w:r>
        <w:rPr>
          <w:b/>
        </w:rPr>
        <w:t>:</w:t>
      </w:r>
      <w:r w:rsidRPr="003B4493">
        <w:rPr>
          <w:b/>
        </w:rPr>
        <w:t xml:space="preserve"> I </w:t>
      </w:r>
    </w:p>
    <w:p w:rsidR="00DC6258" w:rsidRPr="003B4493" w:rsidRDefault="00DC6258" w:rsidP="00DC6258">
      <w:pPr>
        <w:rPr>
          <w:b/>
        </w:rPr>
      </w:pPr>
    </w:p>
    <w:p w:rsidR="00DC6258" w:rsidRPr="003B4493" w:rsidRDefault="00DC6258" w:rsidP="00DC6258">
      <w:pPr>
        <w:rPr>
          <w:b/>
        </w:rPr>
      </w:pPr>
      <w:r w:rsidRPr="003B4493">
        <w:rPr>
          <w:b/>
        </w:rPr>
        <w:t>Insegnamenti p</w:t>
      </w:r>
      <w:r>
        <w:rPr>
          <w:b/>
        </w:rPr>
        <w:t xml:space="preserve">ropedeutici previsti: </w:t>
      </w:r>
    </w:p>
    <w:p w:rsidR="00F91817" w:rsidRDefault="00F91817" w:rsidP="00DC6258">
      <w:pPr>
        <w:rPr>
          <w:b/>
        </w:rPr>
      </w:pPr>
    </w:p>
    <w:p w:rsidR="00DC6258" w:rsidRDefault="00DC6258" w:rsidP="00DC6258">
      <w:r w:rsidRPr="003B4493">
        <w:rPr>
          <w:b/>
        </w:rPr>
        <w:t>RISULTATI DI APPRENDIMENTO ATTESI</w:t>
      </w: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6258" w:rsidTr="00332BA6">
        <w:tc>
          <w:tcPr>
            <w:tcW w:w="9628" w:type="dxa"/>
          </w:tcPr>
          <w:p w:rsidR="00DC6258" w:rsidRDefault="00DC6258" w:rsidP="00F91817">
            <w:pPr>
              <w:spacing w:line="276" w:lineRule="auto"/>
            </w:pPr>
            <w:r>
              <w:t xml:space="preserve">Acquisizione di </w:t>
            </w:r>
            <w:r w:rsidRPr="00227CD7">
              <w:t xml:space="preserve">elementi di </w:t>
            </w:r>
            <w:r>
              <w:t>epidemiologia d</w:t>
            </w:r>
            <w:r w:rsidRPr="00227CD7">
              <w:t xml:space="preserve">elle più comuni malattie </w:t>
            </w:r>
            <w:r>
              <w:t xml:space="preserve">nel campo della Medicina Interna Conoscenza delle </w:t>
            </w:r>
            <w:r w:rsidRPr="00227CD7">
              <w:t>problematiche dell’organizzazione di un reparto di medicina interna, partendo d</w:t>
            </w:r>
            <w:r>
              <w:t xml:space="preserve">alle necessità assistenziali dei pazienti fino ad arrivare alla conoscenza dei principali </w:t>
            </w:r>
            <w:r>
              <w:rPr>
                <w:rStyle w:val="st"/>
              </w:rPr>
              <w:t>Percorsi Diagnostici Terapeutici Assistenziali (PDTA)</w:t>
            </w:r>
            <w:r>
              <w:t xml:space="preserve"> necessari per governare i processi organizzativi interni ed esterni di una struttura di diagnosi e cura.</w:t>
            </w:r>
          </w:p>
        </w:tc>
      </w:tr>
    </w:tbl>
    <w:p w:rsidR="00DC6258" w:rsidRDefault="00DC6258" w:rsidP="00DC625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15"/>
      </w:tblGrid>
      <w:tr w:rsidR="00DC6258" w:rsidTr="00F91817">
        <w:trPr>
          <w:trHeight w:val="390"/>
        </w:trPr>
        <w:tc>
          <w:tcPr>
            <w:tcW w:w="9615" w:type="dxa"/>
          </w:tcPr>
          <w:p w:rsidR="00DC6258" w:rsidRPr="003B4493" w:rsidRDefault="00DC6258" w:rsidP="00332BA6">
            <w:pPr>
              <w:rPr>
                <w:b/>
              </w:rPr>
            </w:pPr>
            <w:r w:rsidRPr="003B4493">
              <w:rPr>
                <w:b/>
              </w:rPr>
              <w:t>CONOSCENZA E CAPACITA’ DI COMPRENSIONE</w:t>
            </w:r>
          </w:p>
        </w:tc>
      </w:tr>
      <w:tr w:rsidR="00DC6258" w:rsidTr="00F91817">
        <w:trPr>
          <w:trHeight w:val="2341"/>
        </w:trPr>
        <w:tc>
          <w:tcPr>
            <w:tcW w:w="9615" w:type="dxa"/>
          </w:tcPr>
          <w:p w:rsidR="00DC6258" w:rsidRDefault="00DC6258" w:rsidP="00332BA6"/>
          <w:p w:rsidR="00DC6258" w:rsidRDefault="00DC6258" w:rsidP="00332BA6">
            <w:pPr>
              <w:spacing w:line="276" w:lineRule="auto"/>
            </w:pPr>
            <w:r>
              <w:t>Conoscenza dei processi assistenziali e ostetrici di maggiore rilevanza in medicina interna al fine di progettare modelli innovativi e a forte impatto sulla qualità dell'assistenza per gli utenti.</w:t>
            </w:r>
          </w:p>
          <w:p w:rsidR="00DC6258" w:rsidRDefault="00DC6258" w:rsidP="00332BA6">
            <w:r>
              <w:t>In particolare lo studente deve dimostrare di conoscere e saper comprendere le problematiche relative alle più comini patologie internistiche</w:t>
            </w:r>
          </w:p>
          <w:p w:rsidR="00DC6258" w:rsidRDefault="00DC6258" w:rsidP="00332BA6">
            <w:r>
              <w:t>Deve inoltre dimostrare di sapere elaborare discussioni anche complesse concernenti i percorsi clinico-assistenziali a partire dalle nozioni apprese durante il corso</w:t>
            </w:r>
          </w:p>
        </w:tc>
      </w:tr>
      <w:tr w:rsidR="00DC6258" w:rsidTr="00F91817">
        <w:trPr>
          <w:trHeight w:val="390"/>
        </w:trPr>
        <w:tc>
          <w:tcPr>
            <w:tcW w:w="9615" w:type="dxa"/>
          </w:tcPr>
          <w:p w:rsidR="00DC6258" w:rsidRDefault="00DC6258" w:rsidP="00332BA6">
            <w:r w:rsidRPr="003B4493">
              <w:rPr>
                <w:b/>
              </w:rPr>
              <w:t>CONOSCENZA E CAPACITA’ DI COMPRENSIONE</w:t>
            </w:r>
            <w:r>
              <w:rPr>
                <w:b/>
              </w:rPr>
              <w:t xml:space="preserve"> APPLICATE</w:t>
            </w:r>
          </w:p>
        </w:tc>
      </w:tr>
      <w:tr w:rsidR="00DC6258" w:rsidTr="00F91817">
        <w:trPr>
          <w:trHeight w:val="1842"/>
        </w:trPr>
        <w:tc>
          <w:tcPr>
            <w:tcW w:w="9615" w:type="dxa"/>
          </w:tcPr>
          <w:p w:rsidR="00DC6258" w:rsidRDefault="00DC6258" w:rsidP="00332BA6">
            <w:r>
              <w:t>Il percorso formativo del corso intende fornire agli studenti le conoscenze e gli strumenti metodologici di base necessari per analizzare le problematiche assistenziali della medicina interna.</w:t>
            </w:r>
          </w:p>
          <w:p w:rsidR="00DC6258" w:rsidRDefault="00DC6258" w:rsidP="00DC6258">
            <w:pPr>
              <w:spacing w:line="276" w:lineRule="auto"/>
            </w:pPr>
            <w:r>
              <w:t>Lo studente dovrà dimostrare capacità di comprendere e approfondire le strategie di direzione e gestione dei servizi professionali e sanitari in base a criteri di efficienza ed efficacia, di gestione delle risorse umane, di progettazione di strumenti di integrazione organizzativa e di valutazione della qualità delle prestazioni con particolare riferimento alla Medicina Interna.</w:t>
            </w:r>
          </w:p>
        </w:tc>
      </w:tr>
      <w:tr w:rsidR="00DC6258" w:rsidTr="00F91817">
        <w:trPr>
          <w:trHeight w:val="791"/>
        </w:trPr>
        <w:tc>
          <w:tcPr>
            <w:tcW w:w="9615" w:type="dxa"/>
          </w:tcPr>
          <w:p w:rsidR="0005637C" w:rsidRDefault="00F91817" w:rsidP="0005637C">
            <w:pPr>
              <w:tabs>
                <w:tab w:val="left" w:pos="2454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892C74" w:rsidRDefault="00892C74" w:rsidP="00892C74">
            <w:pPr>
              <w:tabs>
                <w:tab w:val="left" w:pos="2454"/>
              </w:tabs>
              <w:jc w:val="right"/>
              <w:rPr>
                <w:b/>
              </w:rPr>
            </w:pPr>
          </w:p>
          <w:p w:rsidR="00DC6258" w:rsidRDefault="00DC6258" w:rsidP="0005637C">
            <w:pPr>
              <w:tabs>
                <w:tab w:val="left" w:pos="2454"/>
              </w:tabs>
              <w:rPr>
                <w:b/>
              </w:rPr>
            </w:pPr>
            <w:r>
              <w:rPr>
                <w:b/>
              </w:rPr>
              <w:lastRenderedPageBreak/>
              <w:t>EVENTUALI</w:t>
            </w:r>
            <w:r w:rsidRPr="003B4493">
              <w:rPr>
                <w:b/>
              </w:rPr>
              <w:t xml:space="preserve"> ULTERIORI RISULTATI DI APPRE</w:t>
            </w:r>
            <w:r>
              <w:rPr>
                <w:b/>
              </w:rPr>
              <w:t>N</w:t>
            </w:r>
            <w:r w:rsidRPr="003B4493">
              <w:rPr>
                <w:b/>
              </w:rPr>
              <w:t>DIMENTO ATTESI RELATIVAMENTE A</w:t>
            </w:r>
          </w:p>
          <w:p w:rsidR="00DC6258" w:rsidRDefault="00DC6258" w:rsidP="00332BA6">
            <w:pPr>
              <w:rPr>
                <w:b/>
              </w:rPr>
            </w:pPr>
          </w:p>
          <w:p w:rsidR="00DC6258" w:rsidRPr="00DC6258" w:rsidRDefault="00DC6258" w:rsidP="00DC6258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 w:rsidRPr="00DC6258">
              <w:rPr>
                <w:b/>
              </w:rPr>
              <w:t>Autonomia di giudizio</w:t>
            </w:r>
          </w:p>
          <w:p w:rsidR="00DC6258" w:rsidRDefault="00DC6258" w:rsidP="00DC6258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 w:rsidRPr="00DC6258">
              <w:rPr>
                <w:b/>
              </w:rPr>
              <w:t>Abilità comunicative</w:t>
            </w:r>
          </w:p>
          <w:p w:rsidR="00DC6258" w:rsidRPr="00DC6258" w:rsidRDefault="00DC6258" w:rsidP="00DC6258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Capacità di apprendimento</w:t>
            </w:r>
          </w:p>
          <w:p w:rsidR="00DC6258" w:rsidRDefault="00DC6258" w:rsidP="00332BA6">
            <w:pPr>
              <w:pStyle w:val="Paragrafoelenco"/>
              <w:rPr>
                <w:b/>
              </w:rPr>
            </w:pPr>
          </w:p>
          <w:p w:rsidR="00DC6258" w:rsidRDefault="00DC6258" w:rsidP="00332BA6">
            <w:pPr>
              <w:rPr>
                <w:b/>
              </w:rPr>
            </w:pPr>
          </w:p>
          <w:p w:rsidR="00DC6258" w:rsidRPr="00467216" w:rsidRDefault="00DC6258" w:rsidP="00332BA6">
            <w:pPr>
              <w:rPr>
                <w:b/>
              </w:rPr>
            </w:pPr>
          </w:p>
        </w:tc>
      </w:tr>
    </w:tbl>
    <w:p w:rsidR="00DC6258" w:rsidRDefault="00DC6258" w:rsidP="00DC6258"/>
    <w:p w:rsidR="00DC6258" w:rsidRDefault="00DC6258" w:rsidP="00DC6258">
      <w:pPr>
        <w:rPr>
          <w:b/>
        </w:rPr>
      </w:pPr>
      <w:r w:rsidRPr="00893D8A">
        <w:rPr>
          <w:b/>
        </w:rPr>
        <w:t>PROGRAMMA</w:t>
      </w:r>
      <w:r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6258" w:rsidTr="00332BA6">
        <w:tc>
          <w:tcPr>
            <w:tcW w:w="9628" w:type="dxa"/>
          </w:tcPr>
          <w:p w:rsidR="00DC6258" w:rsidRPr="006B0648" w:rsidRDefault="00DC6258" w:rsidP="00332BA6">
            <w:pPr>
              <w:rPr>
                <w:rFonts w:cs="Times New Roman"/>
              </w:rPr>
            </w:pPr>
            <w:r w:rsidRPr="006B0648">
              <w:rPr>
                <w:rFonts w:cs="Times New Roman"/>
              </w:rPr>
              <w:t>1) Elementi di epidemiologia clinica: tipologie delle richieste assistenziali in Medicina Interna e delle necessità assistenziali dei pazienti;</w:t>
            </w:r>
          </w:p>
          <w:p w:rsidR="00DC6258" w:rsidRDefault="00DC6258" w:rsidP="00332BA6">
            <w:pPr>
              <w:outlineLvl w:val="3"/>
              <w:rPr>
                <w:rFonts w:cs="Times New Roman"/>
              </w:rPr>
            </w:pPr>
            <w:r w:rsidRPr="006B0648">
              <w:rPr>
                <w:rFonts w:cs="Times New Roman"/>
              </w:rPr>
              <w:t xml:space="preserve">2) Costruzione di un </w:t>
            </w:r>
            <w:r w:rsidRPr="006B0648">
              <w:rPr>
                <w:rStyle w:val="st"/>
                <w:rFonts w:cs="Times New Roman"/>
              </w:rPr>
              <w:t>Percorsi Diagnostici Terapeutici Assistenziali</w:t>
            </w:r>
            <w:r w:rsidRPr="006B0648">
              <w:rPr>
                <w:rFonts w:cs="Times New Roman"/>
              </w:rPr>
              <w:t xml:space="preserve"> (PDTA) in ambito </w:t>
            </w:r>
            <w:r w:rsidR="0005637C" w:rsidRPr="006B0648">
              <w:rPr>
                <w:rFonts w:cs="Times New Roman"/>
              </w:rPr>
              <w:t xml:space="preserve">internistico: </w:t>
            </w:r>
            <w:r w:rsidR="0005637C" w:rsidRPr="006B0648">
              <w:rPr>
                <w:rFonts w:cs="Times New Roman"/>
              </w:rPr>
              <w:tab/>
            </w:r>
            <w:r w:rsidRPr="006B0648">
              <w:rPr>
                <w:rFonts w:cs="Times New Roman"/>
              </w:rPr>
              <w:t>- Metodologia di sviluppo del PDTA</w:t>
            </w:r>
            <w:r w:rsidRPr="006B0648">
              <w:rPr>
                <w:rFonts w:cs="Times New Roman"/>
              </w:rPr>
              <w:br/>
            </w:r>
            <w:r w:rsidRPr="006B0648">
              <w:rPr>
                <w:rFonts w:cs="Times New Roman"/>
              </w:rPr>
              <w:tab/>
              <w:t>- Presa in carico del paziente</w:t>
            </w:r>
            <w:r w:rsidRPr="006B0648">
              <w:rPr>
                <w:rFonts w:cs="Times New Roman"/>
              </w:rPr>
              <w:br/>
            </w:r>
            <w:r w:rsidRPr="006B0648">
              <w:rPr>
                <w:rFonts w:cs="Times New Roman"/>
              </w:rPr>
              <w:tab/>
              <w:t>- Indicatori di Percorso</w:t>
            </w:r>
            <w:r w:rsidRPr="006B0648">
              <w:rPr>
                <w:rFonts w:cs="Times New Roman"/>
              </w:rPr>
              <w:br/>
            </w:r>
            <w:r w:rsidRPr="006B0648">
              <w:rPr>
                <w:rFonts w:cs="Times New Roman"/>
              </w:rPr>
              <w:tab/>
              <w:t>- Follow up</w:t>
            </w:r>
          </w:p>
          <w:p w:rsidR="00DC6258" w:rsidRPr="006B0648" w:rsidRDefault="00DC6258" w:rsidP="00332BA6">
            <w:pPr>
              <w:outlineLvl w:val="3"/>
              <w:rPr>
                <w:rFonts w:cs="Times New Roman"/>
              </w:rPr>
            </w:pPr>
            <w:r w:rsidRPr="006B0648">
              <w:rPr>
                <w:rFonts w:cs="Times New Roman"/>
              </w:rPr>
              <w:br/>
              <w:t>3) Gestione delle Malattie croniche e Continuità Assistenziale:</w:t>
            </w:r>
          </w:p>
          <w:p w:rsidR="00DC6258" w:rsidRPr="006B0648" w:rsidRDefault="00DC6258" w:rsidP="00332BA6">
            <w:pPr>
              <w:outlineLvl w:val="3"/>
              <w:rPr>
                <w:rFonts w:cs="Times New Roman"/>
              </w:rPr>
            </w:pPr>
            <w:r w:rsidRPr="006B0648">
              <w:rPr>
                <w:rFonts w:cs="Times New Roman"/>
              </w:rPr>
              <w:tab/>
              <w:t>- Cardiopatia ischemica</w:t>
            </w:r>
          </w:p>
          <w:p w:rsidR="00DC6258" w:rsidRPr="006B0648" w:rsidRDefault="00DC6258" w:rsidP="00332BA6">
            <w:pPr>
              <w:outlineLvl w:val="3"/>
              <w:rPr>
                <w:rFonts w:cs="Times New Roman"/>
              </w:rPr>
            </w:pPr>
            <w:r w:rsidRPr="006B0648">
              <w:rPr>
                <w:rFonts w:cs="Times New Roman"/>
              </w:rPr>
              <w:tab/>
              <w:t>- Insufficienza cardiaca</w:t>
            </w:r>
          </w:p>
          <w:p w:rsidR="00DC6258" w:rsidRPr="006B0648" w:rsidRDefault="00DC6258" w:rsidP="00332BA6">
            <w:pPr>
              <w:outlineLvl w:val="3"/>
              <w:rPr>
                <w:rFonts w:cs="Times New Roman"/>
              </w:rPr>
            </w:pPr>
            <w:r w:rsidRPr="006B0648">
              <w:rPr>
                <w:rFonts w:cs="Times New Roman"/>
              </w:rPr>
              <w:tab/>
              <w:t>- Principali malattie metaboliche (in particolare diabete, anche gestazionale e di tipo 1)</w:t>
            </w:r>
          </w:p>
          <w:p w:rsidR="00DC6258" w:rsidRPr="006B0648" w:rsidRDefault="00DC6258" w:rsidP="00332BA6">
            <w:pPr>
              <w:ind w:left="708"/>
              <w:outlineLvl w:val="3"/>
              <w:rPr>
                <w:rFonts w:cs="Times New Roman"/>
              </w:rPr>
            </w:pPr>
            <w:r w:rsidRPr="006B0648">
              <w:rPr>
                <w:rFonts w:cs="Times New Roman"/>
              </w:rPr>
              <w:t>- Malattie respiratorie (con particolare riferimento alla fibrosi cistica ed alla trombo embolia polmonare in gravidanza)</w:t>
            </w:r>
          </w:p>
          <w:p w:rsidR="00DC6258" w:rsidRPr="006B0648" w:rsidRDefault="00DC6258" w:rsidP="00332BA6">
            <w:pPr>
              <w:outlineLvl w:val="3"/>
              <w:rPr>
                <w:rFonts w:cs="Times New Roman"/>
              </w:rPr>
            </w:pPr>
            <w:r w:rsidRPr="006B0648">
              <w:rPr>
                <w:rFonts w:cs="Times New Roman"/>
              </w:rPr>
              <w:tab/>
              <w:t>- Insufficienza renale cronica; Gestosi</w:t>
            </w:r>
          </w:p>
          <w:p w:rsidR="0005637C" w:rsidRDefault="00DC6258" w:rsidP="00332BA6">
            <w:pPr>
              <w:outlineLvl w:val="3"/>
              <w:rPr>
                <w:rFonts w:cs="Times New Roman"/>
              </w:rPr>
            </w:pPr>
            <w:r w:rsidRPr="006B0648">
              <w:rPr>
                <w:rFonts w:cs="Times New Roman"/>
              </w:rPr>
              <w:tab/>
              <w:t>- Gestione del paziente in coma</w:t>
            </w:r>
            <w:r w:rsidRPr="006B0648">
              <w:rPr>
                <w:rFonts w:cs="Times New Roman"/>
              </w:rPr>
              <w:br/>
            </w:r>
            <w:r w:rsidRPr="006B0648">
              <w:rPr>
                <w:rFonts w:cs="Times New Roman"/>
              </w:rPr>
              <w:br/>
              <w:t>4) Il Case Manager nel Percorso internistico;</w:t>
            </w:r>
            <w:r w:rsidRPr="006B0648">
              <w:rPr>
                <w:rFonts w:cs="Times New Roman"/>
              </w:rPr>
              <w:br/>
            </w:r>
            <w:r w:rsidRPr="006B0648">
              <w:rPr>
                <w:rFonts w:cs="Times New Roman"/>
              </w:rPr>
              <w:br/>
              <w:t xml:space="preserve">5) Il Desease Management in ambito </w:t>
            </w:r>
            <w:r w:rsidR="0005637C" w:rsidRPr="006B0648">
              <w:rPr>
                <w:rFonts w:cs="Times New Roman"/>
              </w:rPr>
              <w:t xml:space="preserve">internistico: </w:t>
            </w:r>
            <w:r w:rsidR="0005637C" w:rsidRPr="006B0648">
              <w:rPr>
                <w:rFonts w:cs="Times New Roman"/>
              </w:rPr>
              <w:tab/>
            </w:r>
          </w:p>
          <w:p w:rsidR="00DC6258" w:rsidRPr="006B0648" w:rsidRDefault="0005637C" w:rsidP="00332BA6">
            <w:pPr>
              <w:outlineLvl w:val="3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 w:rsidR="00DC6258" w:rsidRPr="006B0648">
              <w:rPr>
                <w:rFonts w:cs="Times New Roman"/>
              </w:rPr>
              <w:t>- Obiettivi</w:t>
            </w:r>
            <w:r w:rsidR="00DC6258" w:rsidRPr="006B0648">
              <w:rPr>
                <w:rFonts w:cs="Times New Roman"/>
              </w:rPr>
              <w:br/>
            </w:r>
            <w:r w:rsidR="00DC6258" w:rsidRPr="006B0648">
              <w:rPr>
                <w:rFonts w:cs="Times New Roman"/>
              </w:rPr>
              <w:tab/>
              <w:t>- Care Managem</w:t>
            </w:r>
            <w:r w:rsidR="00F91817">
              <w:rPr>
                <w:rFonts w:cs="Times New Roman"/>
              </w:rPr>
              <w:t>ent</w:t>
            </w:r>
            <w:r w:rsidR="00F91817">
              <w:rPr>
                <w:rFonts w:cs="Times New Roman"/>
              </w:rPr>
              <w:br/>
            </w:r>
            <w:r w:rsidR="00F91817">
              <w:rPr>
                <w:rFonts w:cs="Times New Roman"/>
              </w:rPr>
              <w:tab/>
              <w:t>- Care Manager</w:t>
            </w:r>
            <w:r w:rsidR="00F91817">
              <w:rPr>
                <w:rFonts w:cs="Times New Roman"/>
              </w:rPr>
              <w:br/>
            </w:r>
            <w:r w:rsidR="00F91817">
              <w:rPr>
                <w:rFonts w:cs="Times New Roman"/>
              </w:rPr>
              <w:tab/>
              <w:t>- Self Care</w:t>
            </w:r>
          </w:p>
          <w:p w:rsidR="00DC6258" w:rsidRPr="006B0648" w:rsidRDefault="00DC6258" w:rsidP="00F91817">
            <w:pPr>
              <w:tabs>
                <w:tab w:val="left" w:pos="3043"/>
              </w:tabs>
              <w:rPr>
                <w:rFonts w:cs="Times New Roman"/>
              </w:rPr>
            </w:pPr>
            <w:r w:rsidRPr="006B0648">
              <w:rPr>
                <w:rFonts w:cs="Times New Roman"/>
              </w:rPr>
              <w:t>6) La valutazione della complessità assistenziale in Medicina interna</w:t>
            </w:r>
          </w:p>
          <w:p w:rsidR="00DC6258" w:rsidRPr="006B0648" w:rsidRDefault="00DC6258" w:rsidP="00332BA6">
            <w:pPr>
              <w:spacing w:line="276" w:lineRule="auto"/>
              <w:outlineLvl w:val="3"/>
              <w:rPr>
                <w:rFonts w:cs="Times New Roman"/>
              </w:rPr>
            </w:pPr>
          </w:p>
          <w:p w:rsidR="00DC6258" w:rsidRPr="00F91817" w:rsidRDefault="00DC6258" w:rsidP="00332BA6">
            <w:pPr>
              <w:rPr>
                <w:rFonts w:cs="Times New Roman"/>
                <w:b/>
              </w:rPr>
            </w:pPr>
            <w:r w:rsidRPr="006B0648">
              <w:rPr>
                <w:rFonts w:cs="Times New Roman"/>
              </w:rPr>
              <w:t>7) Il Management delle patologie internistiche nella donna gravida</w:t>
            </w:r>
          </w:p>
        </w:tc>
      </w:tr>
    </w:tbl>
    <w:p w:rsidR="00F91817" w:rsidRDefault="00F91817" w:rsidP="00DC6258">
      <w:pPr>
        <w:rPr>
          <w:b/>
        </w:rPr>
      </w:pPr>
    </w:p>
    <w:p w:rsidR="00DC6258" w:rsidRDefault="00DC6258" w:rsidP="00DC6258">
      <w:pPr>
        <w:rPr>
          <w:b/>
        </w:rPr>
      </w:pPr>
      <w:r>
        <w:rPr>
          <w:b/>
        </w:rPr>
        <w:lastRenderedPageBreak/>
        <w:t>CONTENTS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6258" w:rsidRPr="00A03C7E" w:rsidTr="00332BA6">
        <w:tc>
          <w:tcPr>
            <w:tcW w:w="9628" w:type="dxa"/>
          </w:tcPr>
          <w:p w:rsidR="00DC6258" w:rsidRPr="006B0648" w:rsidRDefault="00DC6258" w:rsidP="00332BA6">
            <w:pPr>
              <w:rPr>
                <w:b/>
                <w:lang w:val="en-US"/>
              </w:rPr>
            </w:pP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1) Clinical Epidemiology Elements: Types of Care Requests in Internal Medicine and Patient Care Needs;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2) Construction of an internal medicine Path Diagnostic Therapeutic Care (PDTA):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- PDTA development methodology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- Taking care of the patient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- Path Indicators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- Follow up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3) Chronic Illness Management and Continuity Care: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- Ischemic heart disease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- Heart failure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- Major metabolic diseases (particularly diabetes, including gestational and type 1)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- Respiratory diseases (with particular reference to cystic fibrosis and thrombo-lung pulmonary embolism)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- Chronic renal failure; gestosis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- Management of patients with coma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4) The Case Manager in the Internist Path;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5) Disease Management in Internal Medicine: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- Aims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- Care Management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- Care Manager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- Self Care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6) Assessment of the complexity of care in Internal Medicine</w:t>
            </w:r>
          </w:p>
          <w:p w:rsidR="00DC6258" w:rsidRPr="00246E86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</w:p>
          <w:p w:rsidR="00DC6258" w:rsidRPr="006B0648" w:rsidRDefault="00DC6258" w:rsidP="00332BA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lang w:val="en-US" w:eastAsia="it-IT"/>
              </w:rPr>
            </w:pPr>
            <w:r w:rsidRPr="00246E86">
              <w:rPr>
                <w:rFonts w:eastAsia="Times New Roman" w:cs="Courier New"/>
                <w:color w:val="212121"/>
                <w:lang w:val="en-US" w:eastAsia="it-IT"/>
              </w:rPr>
              <w:t>7) Management of Internal Medicine problems in pregnancy</w:t>
            </w:r>
          </w:p>
          <w:p w:rsidR="00DC6258" w:rsidRPr="006B0648" w:rsidRDefault="00DC6258" w:rsidP="00332BA6">
            <w:pPr>
              <w:rPr>
                <w:b/>
                <w:lang w:val="en-US"/>
              </w:rPr>
            </w:pPr>
          </w:p>
        </w:tc>
      </w:tr>
    </w:tbl>
    <w:p w:rsidR="00F91817" w:rsidRPr="00A03C7E" w:rsidRDefault="00F91817" w:rsidP="00DC6258">
      <w:pPr>
        <w:rPr>
          <w:b/>
          <w:lang w:val="en-US"/>
        </w:rPr>
      </w:pPr>
    </w:p>
    <w:p w:rsidR="00DC6258" w:rsidRDefault="00DC6258" w:rsidP="00DC6258">
      <w:pPr>
        <w:rPr>
          <w:b/>
        </w:rPr>
      </w:pPr>
      <w:r>
        <w:rPr>
          <w:b/>
        </w:rPr>
        <w:lastRenderedPageBreak/>
        <w:t>MATERIALE DIDATTICO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6258" w:rsidRPr="00C81E8E" w:rsidTr="00332BA6">
        <w:tc>
          <w:tcPr>
            <w:tcW w:w="9628" w:type="dxa"/>
          </w:tcPr>
          <w:p w:rsidR="00DC6258" w:rsidRPr="00C81E8E" w:rsidRDefault="00DC6258" w:rsidP="00332BA6">
            <w:pPr>
              <w:rPr>
                <w:b/>
                <w:lang w:val="en-US"/>
              </w:rPr>
            </w:pPr>
          </w:p>
          <w:p w:rsidR="00DC6258" w:rsidRPr="00026F32" w:rsidRDefault="00DC6258" w:rsidP="00DC6258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eastAsia="Times New Roman" w:cs="Times New Roman"/>
                <w:lang w:eastAsia="it-IT"/>
              </w:rPr>
            </w:pPr>
            <w:r w:rsidRPr="00026F32">
              <w:rPr>
                <w:rFonts w:eastAsia="Times New Roman" w:cs="Times New Roman"/>
                <w:lang w:eastAsia="it-IT"/>
              </w:rPr>
              <w:t>Lezioni ed esercitazioni durante il corso</w:t>
            </w:r>
          </w:p>
          <w:p w:rsidR="00DC6258" w:rsidRPr="00C81E8E" w:rsidRDefault="00DC6258" w:rsidP="00DC6258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eastAsia="Times New Roman" w:cs="Times New Roman"/>
                <w:lang w:val="en-US" w:eastAsia="it-IT"/>
              </w:rPr>
            </w:pPr>
            <w:r w:rsidRPr="00C81E8E">
              <w:rPr>
                <w:rFonts w:eastAsia="Times New Roman" w:cs="Times New Roman"/>
                <w:bCs/>
                <w:kern w:val="36"/>
                <w:lang w:val="en-US" w:eastAsia="it-IT"/>
              </w:rPr>
              <w:t xml:space="preserve">Harrison's Principles of Internal Medicine 19th ed. </w:t>
            </w:r>
            <w:hyperlink r:id="rId5" w:history="1">
              <w:r w:rsidRPr="00C81E8E">
                <w:rPr>
                  <w:rFonts w:eastAsia="Times New Roman" w:cs="Times New Roman"/>
                  <w:lang w:val="en-US" w:eastAsia="it-IT"/>
                </w:rPr>
                <w:t>Joseph Loscalzo</w:t>
              </w:r>
            </w:hyperlink>
            <w:r w:rsidRPr="00C81E8E">
              <w:rPr>
                <w:rFonts w:eastAsia="Times New Roman" w:cs="Times New Roman"/>
                <w:lang w:val="en-US" w:eastAsia="it-IT"/>
              </w:rPr>
              <w:t>,</w:t>
            </w:r>
            <w:hyperlink r:id="rId6" w:history="1">
              <w:r w:rsidRPr="00C81E8E">
                <w:rPr>
                  <w:rFonts w:eastAsia="Times New Roman" w:cs="Times New Roman"/>
                  <w:lang w:val="en-US" w:eastAsia="it-IT"/>
                </w:rPr>
                <w:t>J. Larry Jameson</w:t>
              </w:r>
            </w:hyperlink>
            <w:r w:rsidRPr="00C81E8E">
              <w:rPr>
                <w:rFonts w:eastAsia="Times New Roman" w:cs="Times New Roman"/>
                <w:lang w:val="en-US" w:eastAsia="it-IT"/>
              </w:rPr>
              <w:t>,</w:t>
            </w:r>
            <w:hyperlink r:id="rId7" w:history="1">
              <w:r w:rsidRPr="00C81E8E">
                <w:rPr>
                  <w:rFonts w:eastAsia="Times New Roman" w:cs="Times New Roman"/>
                  <w:lang w:val="en-US" w:eastAsia="it-IT"/>
                </w:rPr>
                <w:t>Dan L. Longo</w:t>
              </w:r>
            </w:hyperlink>
            <w:r w:rsidRPr="00C81E8E">
              <w:rPr>
                <w:rFonts w:eastAsia="Times New Roman" w:cs="Times New Roman"/>
                <w:lang w:val="en-US" w:eastAsia="it-IT"/>
              </w:rPr>
              <w:t>,</w:t>
            </w:r>
            <w:hyperlink r:id="rId8" w:history="1">
              <w:r w:rsidRPr="00C81E8E">
                <w:rPr>
                  <w:rFonts w:eastAsia="Times New Roman" w:cs="Times New Roman"/>
                  <w:lang w:val="en-US" w:eastAsia="it-IT"/>
                </w:rPr>
                <w:t>Anthony S. Fauci</w:t>
              </w:r>
            </w:hyperlink>
            <w:r w:rsidRPr="00C81E8E">
              <w:rPr>
                <w:rFonts w:eastAsia="Times New Roman" w:cs="Times New Roman"/>
                <w:lang w:val="en-US" w:eastAsia="it-IT"/>
              </w:rPr>
              <w:t>,</w:t>
            </w:r>
            <w:hyperlink r:id="rId9" w:history="1">
              <w:r w:rsidRPr="00C81E8E">
                <w:rPr>
                  <w:rFonts w:eastAsia="Times New Roman" w:cs="Times New Roman"/>
                  <w:lang w:val="en-US" w:eastAsia="it-IT"/>
                </w:rPr>
                <w:t>Stephen L. Hauser</w:t>
              </w:r>
            </w:hyperlink>
            <w:r w:rsidRPr="00C81E8E">
              <w:rPr>
                <w:rFonts w:eastAsia="Times New Roman" w:cs="Times New Roman"/>
                <w:lang w:val="en-US" w:eastAsia="it-IT"/>
              </w:rPr>
              <w:t>,</w:t>
            </w:r>
            <w:hyperlink r:id="rId10" w:history="1">
              <w:r w:rsidRPr="00C81E8E">
                <w:rPr>
                  <w:rFonts w:eastAsia="Times New Roman" w:cs="Times New Roman"/>
                  <w:lang w:val="en-US" w:eastAsia="it-IT"/>
                </w:rPr>
                <w:t>Dennis L. Kasper</w:t>
              </w:r>
            </w:hyperlink>
            <w:r w:rsidRPr="00C81E8E">
              <w:rPr>
                <w:rFonts w:eastAsia="Times New Roman" w:cs="Times New Roman"/>
                <w:lang w:val="en-US" w:eastAsia="it-IT"/>
              </w:rPr>
              <w:t xml:space="preserve"> - </w:t>
            </w:r>
            <w:r w:rsidRPr="00C81E8E">
              <w:rPr>
                <w:rFonts w:eastAsia="Times New Roman" w:cs="Times New Roman"/>
                <w:bCs/>
                <w:bdr w:val="none" w:sz="0" w:space="0" w:color="auto" w:frame="1"/>
                <w:lang w:val="en-US" w:eastAsia="it-IT"/>
              </w:rPr>
              <w:t>Editore:</w:t>
            </w:r>
            <w:r w:rsidRPr="00C81E8E">
              <w:rPr>
                <w:rFonts w:eastAsia="Times New Roman" w:cs="Times New Roman"/>
                <w:bCs/>
                <w:lang w:val="en-US" w:eastAsia="it-IT"/>
              </w:rPr>
              <w:t> </w:t>
            </w:r>
            <w:hyperlink r:id="rId11" w:history="1">
              <w:r w:rsidRPr="00C81E8E">
                <w:rPr>
                  <w:rFonts w:eastAsia="Times New Roman" w:cs="Times New Roman"/>
                  <w:lang w:val="en-US" w:eastAsia="it-IT"/>
                </w:rPr>
                <w:t>McGraw-Hill Medical</w:t>
              </w:r>
            </w:hyperlink>
            <w:r w:rsidRPr="001438E3">
              <w:rPr>
                <w:rFonts w:eastAsia="Times New Roman" w:cs="Times New Roman"/>
                <w:lang w:val="en-US" w:eastAsia="it-IT"/>
              </w:rPr>
              <w:t xml:space="preserve"> (2015)</w:t>
            </w:r>
          </w:p>
          <w:p w:rsidR="00DC6258" w:rsidRDefault="00DC6258" w:rsidP="00DC6258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C81E8E">
              <w:t xml:space="preserve">Aldo Pagni: Medici &amp; Management Sanitario: Il difficile dialogo tra due culture. </w:t>
            </w:r>
            <w:r w:rsidRPr="00C81E8E">
              <w:rPr>
                <w:rFonts w:cs="Arial"/>
                <w:shd w:val="clear" w:color="auto" w:fill="FFFFFF"/>
              </w:rPr>
              <w:t>C. G. Edizioni Medico Scientifiche (2015)</w:t>
            </w:r>
            <w:r w:rsidRPr="00C81E8E">
              <w:t xml:space="preserve"> </w:t>
            </w:r>
          </w:p>
          <w:p w:rsidR="00DC6258" w:rsidRPr="00C81E8E" w:rsidRDefault="00DC6258" w:rsidP="00DC6258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026F32">
              <w:t>Le funzioni di coordinamento delle professioni sanitarie. Aspetti contrattuali e management: Aspetti contrattuali e management (Azienda moderna)</w:t>
            </w:r>
            <w:r>
              <w:t xml:space="preserve"> </w:t>
            </w:r>
            <w:r w:rsidRPr="00026F32">
              <w:t>Franco Angeli Edizioni (2013)</w:t>
            </w:r>
          </w:p>
          <w:p w:rsidR="00DC6258" w:rsidRPr="00C81E8E" w:rsidRDefault="00DC6258" w:rsidP="00332BA6">
            <w:pPr>
              <w:rPr>
                <w:b/>
              </w:rPr>
            </w:pPr>
          </w:p>
          <w:p w:rsidR="00DC6258" w:rsidRPr="00C81E8E" w:rsidRDefault="00DC6258" w:rsidP="00332BA6">
            <w:pPr>
              <w:rPr>
                <w:b/>
              </w:rPr>
            </w:pPr>
          </w:p>
        </w:tc>
      </w:tr>
    </w:tbl>
    <w:p w:rsidR="00DC6258" w:rsidRDefault="00DC6258" w:rsidP="00DC6258">
      <w:pPr>
        <w:rPr>
          <w:b/>
        </w:rPr>
      </w:pPr>
    </w:p>
    <w:p w:rsidR="00DC6258" w:rsidRDefault="00DC6258" w:rsidP="00DC6258">
      <w:pPr>
        <w:rPr>
          <w:b/>
        </w:rPr>
      </w:pPr>
      <w:r w:rsidRPr="00893D8A">
        <w:rPr>
          <w:b/>
        </w:rPr>
        <w:t>FINALITA’ E MODALITA’ PER LA VERIFICA DI APPRENDIMENTO</w:t>
      </w:r>
      <w:r>
        <w:rPr>
          <w:b/>
        </w:rPr>
        <w:t xml:space="preserve">                                                                                   </w:t>
      </w:r>
    </w:p>
    <w:p w:rsidR="00DC6258" w:rsidRDefault="00DC6258" w:rsidP="00DC6258">
      <w:pPr>
        <w:rPr>
          <w:b/>
        </w:rPr>
      </w:pPr>
      <w:r>
        <w:rPr>
          <w:b/>
        </w:rPr>
        <w:t>Modalità di esame</w:t>
      </w:r>
    </w:p>
    <w:tbl>
      <w:tblPr>
        <w:tblStyle w:val="Grigliatabella"/>
        <w:tblW w:w="9704" w:type="dxa"/>
        <w:tblLayout w:type="fixed"/>
        <w:tblLook w:val="04A0" w:firstRow="1" w:lastRow="0" w:firstColumn="1" w:lastColumn="0" w:noHBand="0" w:noVBand="1"/>
      </w:tblPr>
      <w:tblGrid>
        <w:gridCol w:w="3823"/>
        <w:gridCol w:w="1541"/>
        <w:gridCol w:w="443"/>
        <w:gridCol w:w="1352"/>
        <w:gridCol w:w="425"/>
        <w:gridCol w:w="1559"/>
        <w:gridCol w:w="561"/>
      </w:tblGrid>
      <w:tr w:rsidR="00DC6258" w:rsidTr="00332BA6">
        <w:tc>
          <w:tcPr>
            <w:tcW w:w="3823" w:type="dxa"/>
          </w:tcPr>
          <w:p w:rsidR="00DC6258" w:rsidRDefault="00DC6258" w:rsidP="00332BA6">
            <w:pPr>
              <w:rPr>
                <w:b/>
              </w:rPr>
            </w:pPr>
            <w:r>
              <w:rPr>
                <w:b/>
              </w:rPr>
              <w:t>L’ esame si articola in prova</w:t>
            </w:r>
          </w:p>
        </w:tc>
        <w:tc>
          <w:tcPr>
            <w:tcW w:w="1541" w:type="dxa"/>
          </w:tcPr>
          <w:p w:rsidR="00DC6258" w:rsidRDefault="00DC6258" w:rsidP="00332BA6">
            <w:pPr>
              <w:rPr>
                <w:b/>
              </w:rPr>
            </w:pPr>
            <w:r>
              <w:rPr>
                <w:b/>
              </w:rPr>
              <w:t>Scritta e orale</w:t>
            </w:r>
          </w:p>
        </w:tc>
        <w:tc>
          <w:tcPr>
            <w:tcW w:w="443" w:type="dxa"/>
          </w:tcPr>
          <w:p w:rsidR="00DC6258" w:rsidRDefault="00DC6258" w:rsidP="00332BA6">
            <w:pPr>
              <w:rPr>
                <w:b/>
              </w:rPr>
            </w:pPr>
          </w:p>
        </w:tc>
        <w:tc>
          <w:tcPr>
            <w:tcW w:w="1352" w:type="dxa"/>
          </w:tcPr>
          <w:p w:rsidR="00DC6258" w:rsidRDefault="00DC6258" w:rsidP="00332BA6">
            <w:pPr>
              <w:rPr>
                <w:b/>
              </w:rPr>
            </w:pPr>
            <w:r>
              <w:rPr>
                <w:b/>
              </w:rPr>
              <w:t>Solo scritta</w:t>
            </w:r>
          </w:p>
        </w:tc>
        <w:tc>
          <w:tcPr>
            <w:tcW w:w="425" w:type="dxa"/>
          </w:tcPr>
          <w:p w:rsidR="00DC6258" w:rsidRDefault="00DC6258" w:rsidP="00332BA6">
            <w:pPr>
              <w:rPr>
                <w:b/>
              </w:rPr>
            </w:pPr>
          </w:p>
        </w:tc>
        <w:tc>
          <w:tcPr>
            <w:tcW w:w="1559" w:type="dxa"/>
          </w:tcPr>
          <w:p w:rsidR="00DC6258" w:rsidRDefault="00DC6258" w:rsidP="00332BA6">
            <w:pPr>
              <w:rPr>
                <w:b/>
              </w:rPr>
            </w:pPr>
            <w:r>
              <w:rPr>
                <w:b/>
              </w:rPr>
              <w:t>Solo orale</w:t>
            </w:r>
          </w:p>
        </w:tc>
        <w:tc>
          <w:tcPr>
            <w:tcW w:w="561" w:type="dxa"/>
          </w:tcPr>
          <w:p w:rsidR="00DC6258" w:rsidRDefault="00DC6258" w:rsidP="00332BA6">
            <w:pPr>
              <w:rPr>
                <w:b/>
              </w:rPr>
            </w:pPr>
          </w:p>
        </w:tc>
      </w:tr>
      <w:tr w:rsidR="00DC6258" w:rsidTr="00332BA6">
        <w:tc>
          <w:tcPr>
            <w:tcW w:w="3823" w:type="dxa"/>
          </w:tcPr>
          <w:p w:rsidR="00DC6258" w:rsidRDefault="00DC6258" w:rsidP="00332BA6">
            <w:pPr>
              <w:rPr>
                <w:b/>
              </w:rPr>
            </w:pPr>
            <w:r>
              <w:rPr>
                <w:b/>
              </w:rPr>
              <w:t>Discussione di elaborato progettuale</w:t>
            </w:r>
          </w:p>
        </w:tc>
        <w:tc>
          <w:tcPr>
            <w:tcW w:w="1541" w:type="dxa"/>
          </w:tcPr>
          <w:p w:rsidR="00DC6258" w:rsidRDefault="00DC6258" w:rsidP="00332BA6">
            <w:pPr>
              <w:rPr>
                <w:b/>
              </w:rPr>
            </w:pPr>
          </w:p>
        </w:tc>
        <w:tc>
          <w:tcPr>
            <w:tcW w:w="443" w:type="dxa"/>
          </w:tcPr>
          <w:p w:rsidR="00DC6258" w:rsidRDefault="00DC6258" w:rsidP="00332BA6">
            <w:pPr>
              <w:rPr>
                <w:b/>
              </w:rPr>
            </w:pPr>
          </w:p>
        </w:tc>
        <w:tc>
          <w:tcPr>
            <w:tcW w:w="1352" w:type="dxa"/>
          </w:tcPr>
          <w:p w:rsidR="00DC6258" w:rsidRDefault="00DC6258" w:rsidP="00332BA6">
            <w:pPr>
              <w:rPr>
                <w:b/>
              </w:rPr>
            </w:pPr>
          </w:p>
        </w:tc>
        <w:tc>
          <w:tcPr>
            <w:tcW w:w="425" w:type="dxa"/>
          </w:tcPr>
          <w:p w:rsidR="00DC6258" w:rsidRDefault="00DC6258" w:rsidP="00332BA6">
            <w:pPr>
              <w:rPr>
                <w:b/>
              </w:rPr>
            </w:pPr>
          </w:p>
        </w:tc>
        <w:tc>
          <w:tcPr>
            <w:tcW w:w="1559" w:type="dxa"/>
          </w:tcPr>
          <w:p w:rsidR="00DC6258" w:rsidRDefault="00DC6258" w:rsidP="00332BA6">
            <w:pPr>
              <w:rPr>
                <w:b/>
              </w:rPr>
            </w:pPr>
          </w:p>
        </w:tc>
        <w:tc>
          <w:tcPr>
            <w:tcW w:w="561" w:type="dxa"/>
          </w:tcPr>
          <w:p w:rsidR="00DC6258" w:rsidRDefault="00DC6258" w:rsidP="00332BA6">
            <w:pPr>
              <w:rPr>
                <w:b/>
              </w:rPr>
            </w:pPr>
          </w:p>
        </w:tc>
      </w:tr>
      <w:tr w:rsidR="00DC6258" w:rsidTr="00332BA6">
        <w:tc>
          <w:tcPr>
            <w:tcW w:w="3823" w:type="dxa"/>
          </w:tcPr>
          <w:p w:rsidR="00DC6258" w:rsidRDefault="00DC6258" w:rsidP="00332BA6">
            <w:pPr>
              <w:rPr>
                <w:b/>
              </w:rPr>
            </w:pPr>
            <w:r>
              <w:rPr>
                <w:b/>
              </w:rPr>
              <w:t>Altro, specificare</w:t>
            </w:r>
          </w:p>
        </w:tc>
        <w:tc>
          <w:tcPr>
            <w:tcW w:w="5881" w:type="dxa"/>
            <w:gridSpan w:val="6"/>
          </w:tcPr>
          <w:p w:rsidR="00DC6258" w:rsidRDefault="00DC6258" w:rsidP="00332BA6">
            <w:pPr>
              <w:rPr>
                <w:b/>
              </w:rPr>
            </w:pPr>
          </w:p>
        </w:tc>
      </w:tr>
    </w:tbl>
    <w:p w:rsidR="00DC6258" w:rsidRDefault="00DC6258" w:rsidP="00DC6258">
      <w:pPr>
        <w:rPr>
          <w:b/>
        </w:rPr>
      </w:pPr>
    </w:p>
    <w:tbl>
      <w:tblPr>
        <w:tblStyle w:val="Grigliatabella"/>
        <w:tblW w:w="9718" w:type="dxa"/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425"/>
        <w:gridCol w:w="1559"/>
        <w:gridCol w:w="284"/>
        <w:gridCol w:w="1701"/>
        <w:gridCol w:w="367"/>
      </w:tblGrid>
      <w:tr w:rsidR="00DC6258" w:rsidTr="00332BA6">
        <w:tc>
          <w:tcPr>
            <w:tcW w:w="3539" w:type="dxa"/>
          </w:tcPr>
          <w:p w:rsidR="00DC6258" w:rsidRPr="006913D9" w:rsidRDefault="00DC6258" w:rsidP="00332BA6">
            <w:pPr>
              <w:rPr>
                <w:b/>
                <w:spacing w:val="-8"/>
              </w:rPr>
            </w:pPr>
            <w:r w:rsidRPr="006913D9">
              <w:rPr>
                <w:b/>
                <w:spacing w:val="-8"/>
              </w:rPr>
              <w:t>In caso di prova scritta i quesiti sono (*)</w:t>
            </w:r>
          </w:p>
        </w:tc>
        <w:tc>
          <w:tcPr>
            <w:tcW w:w="1843" w:type="dxa"/>
          </w:tcPr>
          <w:p w:rsidR="00DC6258" w:rsidRPr="00E92B7E" w:rsidRDefault="00DC6258" w:rsidP="00332BA6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A risposta multipla</w:t>
            </w:r>
          </w:p>
        </w:tc>
        <w:tc>
          <w:tcPr>
            <w:tcW w:w="425" w:type="dxa"/>
          </w:tcPr>
          <w:p w:rsidR="00DC6258" w:rsidRPr="00E92B7E" w:rsidRDefault="00DC6258" w:rsidP="00332BA6">
            <w:pPr>
              <w:rPr>
                <w:b/>
                <w:spacing w:val="-10"/>
              </w:rPr>
            </w:pPr>
          </w:p>
        </w:tc>
        <w:tc>
          <w:tcPr>
            <w:tcW w:w="1559" w:type="dxa"/>
          </w:tcPr>
          <w:p w:rsidR="00DC6258" w:rsidRPr="00E92B7E" w:rsidRDefault="00DC6258" w:rsidP="00332BA6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A risposta libera</w:t>
            </w:r>
          </w:p>
        </w:tc>
        <w:tc>
          <w:tcPr>
            <w:tcW w:w="284" w:type="dxa"/>
          </w:tcPr>
          <w:p w:rsidR="00DC6258" w:rsidRPr="00E92B7E" w:rsidRDefault="00DC6258" w:rsidP="00332BA6">
            <w:pPr>
              <w:rPr>
                <w:b/>
                <w:spacing w:val="-10"/>
              </w:rPr>
            </w:pPr>
          </w:p>
        </w:tc>
        <w:tc>
          <w:tcPr>
            <w:tcW w:w="1701" w:type="dxa"/>
          </w:tcPr>
          <w:p w:rsidR="00DC6258" w:rsidRPr="00E92B7E" w:rsidRDefault="00DC6258" w:rsidP="00332BA6">
            <w:pPr>
              <w:rPr>
                <w:b/>
                <w:spacing w:val="-10"/>
              </w:rPr>
            </w:pPr>
            <w:r w:rsidRPr="00E92B7E">
              <w:rPr>
                <w:b/>
                <w:spacing w:val="-10"/>
              </w:rPr>
              <w:t>Esercizi numerici</w:t>
            </w:r>
          </w:p>
        </w:tc>
        <w:tc>
          <w:tcPr>
            <w:tcW w:w="367" w:type="dxa"/>
          </w:tcPr>
          <w:p w:rsidR="00DC6258" w:rsidRDefault="00DC6258" w:rsidP="00332BA6">
            <w:pPr>
              <w:rPr>
                <w:b/>
              </w:rPr>
            </w:pPr>
          </w:p>
        </w:tc>
      </w:tr>
    </w:tbl>
    <w:p w:rsidR="004A0946" w:rsidRDefault="004A0946"/>
    <w:sectPr w:rsidR="004A0946" w:rsidSect="002C1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451A"/>
    <w:multiLevelType w:val="hybridMultilevel"/>
    <w:tmpl w:val="CFBE4FF8"/>
    <w:lvl w:ilvl="0" w:tplc="0410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64EF7E6C"/>
    <w:multiLevelType w:val="hybridMultilevel"/>
    <w:tmpl w:val="ECB0CCB8"/>
    <w:lvl w:ilvl="0" w:tplc="3CB674B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58"/>
    <w:rsid w:val="0005637C"/>
    <w:rsid w:val="00201C46"/>
    <w:rsid w:val="004A0946"/>
    <w:rsid w:val="007C49F2"/>
    <w:rsid w:val="00892C74"/>
    <w:rsid w:val="00A03C7E"/>
    <w:rsid w:val="00A11924"/>
    <w:rsid w:val="00AA29EF"/>
    <w:rsid w:val="00C6548D"/>
    <w:rsid w:val="00DC6258"/>
    <w:rsid w:val="00F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E40EE-06AB-4980-9CAD-4E0BB5AC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625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6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C6258"/>
    <w:pPr>
      <w:ind w:left="720"/>
      <w:contextualSpacing/>
    </w:pPr>
  </w:style>
  <w:style w:type="character" w:customStyle="1" w:styleId="st">
    <w:name w:val="st"/>
    <w:basedOn w:val="Carpredefinitoparagrafo"/>
    <w:rsid w:val="00DC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eriacortinamilano.it/autore/49708/anthony-s-fauc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breriacortinamilano.it/autore/46432/dan-l-longo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eriacortinamilano.it/autore/42196/j-larry-jameson.html" TargetMode="External"/><Relationship Id="rId11" Type="http://schemas.openxmlformats.org/officeDocument/2006/relationships/hyperlink" Target="https://www.libreriacortinamilano.it/editore/2693/mcgraw-hill-medical.html" TargetMode="External"/><Relationship Id="rId5" Type="http://schemas.openxmlformats.org/officeDocument/2006/relationships/hyperlink" Target="https://www.libreriacortinamilano.it/autore/35528/joseph-loscalzo.html" TargetMode="External"/><Relationship Id="rId10" Type="http://schemas.openxmlformats.org/officeDocument/2006/relationships/hyperlink" Target="https://www.libreriacortinamilano.it/autore/62359/dennis-l-kasp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reriacortinamilano.it/autore/61677/stephen-l-hauser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</dc:creator>
  <cp:lastModifiedBy>Laura</cp:lastModifiedBy>
  <cp:revision>9</cp:revision>
  <dcterms:created xsi:type="dcterms:W3CDTF">2020-01-16T13:26:00Z</dcterms:created>
  <dcterms:modified xsi:type="dcterms:W3CDTF">2021-02-24T11:27:00Z</dcterms:modified>
</cp:coreProperties>
</file>