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2° CICLO (Coordinatore Prof. Gilberto Sammartino)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" w:before="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9.0" w:type="dxa"/>
        <w:jc w:val="left"/>
        <w:tblInd w:w="142.0" w:type="dxa"/>
        <w:tblLayout w:type="fixed"/>
        <w:tblLook w:val="0400"/>
      </w:tblPr>
      <w:tblGrid>
        <w:gridCol w:w="5245"/>
        <w:gridCol w:w="4536"/>
        <w:gridCol w:w="4678"/>
        <w:tblGridChange w:id="0">
          <w:tblGrid>
            <w:gridCol w:w="5245"/>
            <w:gridCol w:w="4536"/>
            <w:gridCol w:w="4678"/>
          </w:tblGrid>
        </w:tblGridChange>
      </w:tblGrid>
      <w:t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ind w:left="-11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IMPLANTOLOGIA</w:t>
            </w:r>
          </w:p>
          <w:p w:rsidR="00000000" w:rsidDel="00000000" w:rsidP="00000000" w:rsidRDefault="00000000" w:rsidRPr="00000000" w14:paraId="00000004">
            <w:pPr>
              <w:ind w:left="-111" w:firstLine="0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Coord. Prof. Zarone F.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 PATOLOGIA E TERAPIA MAXILLO-FACCIALE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Coord. Prof. Sammartino G. </w:t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C.I. ODONTOIATRIA PEDIATRICA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Coord. Prof. Ingenito</w:t>
            </w:r>
          </w:p>
        </w:tc>
      </w:tr>
      <w:tr>
        <w:tc>
          <w:tcPr>
            <w:tcBorders>
              <w:top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Parodontologia: Prof. Nicolò (1 CFU); Prof.  Cafiero C. (1 CFU); Esercitazioni: Prof. Cafiero (1 CFU)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Protesi Dentaria Prof. Zarone ( 1 CFU); Prof. Epifania (1 CFU);  Esercitazioni: Prof. Zarone (1 CFU)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Chirurgia Orale; Esercitazioni in chir. orale implantologia Prof.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Clinica Odontostomatologica Prof. Sammartino G. (2 CFU), Esercitazioni Prof. Sammartino (1 CFU)</w:t>
            </w:r>
          </w:p>
          <w:p w:rsidR="00000000" w:rsidDel="00000000" w:rsidP="00000000" w:rsidRDefault="00000000" w:rsidRPr="00000000" w14:paraId="0000000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178" w:hanging="17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Chirurgia Orale Prof. Sammartino (1 CFU), Esercitazioni Prof. Sammartino, (1 CFU), Prof. Ramaglia (1 CFU)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178" w:hanging="17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Chirurgia Maxillo facciale Prof. Califano  (1 CFU); Dell’aversana (1 CFU); Prof. Abbate (1 CFU)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178" w:hanging="17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Otorinolaringoiatria Prof. Cantone M.E.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178" w:hanging="17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Patologia oncologica orale: Prof. Mignogna (2 CFU) </w:t>
            </w:r>
          </w:p>
        </w:tc>
        <w:tc>
          <w:tcPr>
            <w:tcBorders>
              <w:top w:color="000000" w:space="0" w:sz="4" w:val="single"/>
            </w:tcBorders>
            <w:shd w:fill="fbe4d5" w:val="clea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164" w:hanging="164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Pedodonzia ( 4 CFU); Esercitazioni: Prof. Ingenito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164" w:hanging="164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Pediatria Prof.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" w:before="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38.000000000002" w:type="dxa"/>
        <w:jc w:val="left"/>
        <w:tblInd w:w="147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18"/>
        <w:gridCol w:w="2791"/>
        <w:gridCol w:w="2521"/>
        <w:gridCol w:w="2658"/>
        <w:gridCol w:w="2661"/>
        <w:gridCol w:w="2389"/>
        <w:tblGridChange w:id="0">
          <w:tblGrid>
            <w:gridCol w:w="1418"/>
            <w:gridCol w:w="2791"/>
            <w:gridCol w:w="2521"/>
            <w:gridCol w:w="2658"/>
            <w:gridCol w:w="2661"/>
            <w:gridCol w:w="2389"/>
          </w:tblGrid>
        </w:tblGridChange>
      </w:tblGrid>
      <w:tr>
        <w:trPr>
          <w:trHeight w:val="553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60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7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317" w:right="20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MERCOLEDI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8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GIOVEDI</w:t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579" w:right="5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VENERDI</w:t>
            </w:r>
          </w:p>
        </w:tc>
      </w:tr>
      <w:tr>
        <w:trPr>
          <w:trHeight w:val="567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8:30-9:20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78"/>
              </w:tabs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78"/>
              </w:tabs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</w:tr>
      <w:tr>
        <w:trPr>
          <w:trHeight w:val="567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9:20-10:10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78" w:right="9" w:hanging="62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78" w:right="9" w:hanging="62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</w:tr>
      <w:tr>
        <w:trPr>
          <w:trHeight w:val="567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10:10-11:00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78"/>
              </w:tabs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78"/>
              </w:tabs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78" w:right="9" w:hanging="62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11:50-12:40</w:t>
            </w:r>
          </w:p>
        </w:tc>
        <w:tc>
          <w:tcPr>
            <w:tcBorders>
              <w:bottom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78"/>
              </w:tabs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Implantologia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Patologia e Terapia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Maxillo-facciale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12:40-13:30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60" w:right="2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Odontoiatria Pediatrica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Style w:val="Heading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 lezioni si svolgono all’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edificio 14.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7429500</wp:posOffset>
                </wp:positionH>
                <wp:positionV relativeFrom="paragraph">
                  <wp:posOffset>-1003299</wp:posOffset>
                </wp:positionV>
                <wp:extent cx="1508760" cy="18605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1620" y="3686973"/>
                          <a:ext cx="1508760" cy="186055"/>
                          <a:chOff x="4591620" y="3686973"/>
                          <a:chExt cx="1508760" cy="186055"/>
                        </a:xfrm>
                      </wpg:grpSpPr>
                      <wpg:grpSp>
                        <wpg:cNvGrpSpPr/>
                        <wpg:grpSpPr>
                          <a:xfrm>
                            <a:off x="4591620" y="3686973"/>
                            <a:ext cx="1508760" cy="186055"/>
                            <a:chOff x="13120" y="-1580"/>
                            <a:chExt cx="2376" cy="29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120" y="-1580"/>
                              <a:ext cx="2375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120" y="-1580"/>
                              <a:ext cx="2376" cy="293"/>
                            </a:xfrm>
                            <a:prstGeom prst="rect">
                              <a:avLst/>
                            </a:prstGeom>
                            <a:solidFill>
                              <a:srgbClr val="FFFF9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301" y="-1580"/>
                              <a:ext cx="0" cy="2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44175">
                              <a:solidFill>
                                <a:srgbClr val="FFFF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7429500</wp:posOffset>
                </wp:positionH>
                <wp:positionV relativeFrom="paragraph">
                  <wp:posOffset>-1003299</wp:posOffset>
                </wp:positionV>
                <wp:extent cx="1508760" cy="18605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86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ind w:left="386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0" w:w="16840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