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FE" w:rsidRDefault="00E84FFE">
      <w:pPr>
        <w:pStyle w:val="Corpodeltesto"/>
        <w:ind w:left="0"/>
        <w:rPr>
          <w:rFonts w:ascii="Times New Roman"/>
          <w:sz w:val="20"/>
        </w:rPr>
      </w:pPr>
    </w:p>
    <w:p w:rsidR="00E84FFE" w:rsidRDefault="00E84FFE">
      <w:pPr>
        <w:pStyle w:val="Corpodeltesto"/>
        <w:spacing w:before="2"/>
        <w:ind w:left="0"/>
        <w:rPr>
          <w:rFonts w:ascii="Times New Roman"/>
        </w:rPr>
      </w:pPr>
    </w:p>
    <w:p w:rsidR="00E84FFE" w:rsidRDefault="002640D5">
      <w:pPr>
        <w:pStyle w:val="Corpodeltesto"/>
        <w:ind w:left="39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245241" cy="12164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41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FFE" w:rsidRDefault="00E84FFE">
      <w:pPr>
        <w:pStyle w:val="Corpodeltesto"/>
        <w:ind w:left="0"/>
        <w:rPr>
          <w:rFonts w:ascii="Times New Roman"/>
          <w:sz w:val="20"/>
        </w:rPr>
      </w:pPr>
    </w:p>
    <w:p w:rsidR="00E84FFE" w:rsidRDefault="00E84FFE">
      <w:pPr>
        <w:pStyle w:val="Corpodeltesto"/>
        <w:ind w:left="0"/>
        <w:rPr>
          <w:rFonts w:ascii="Times New Roman"/>
          <w:sz w:val="20"/>
        </w:rPr>
      </w:pPr>
    </w:p>
    <w:p w:rsidR="00E84FFE" w:rsidRDefault="00E84FFE">
      <w:pPr>
        <w:pStyle w:val="Corpodeltesto"/>
        <w:spacing w:before="5"/>
        <w:ind w:left="0"/>
        <w:rPr>
          <w:rFonts w:ascii="Times New Roman"/>
          <w:sz w:val="17"/>
        </w:rPr>
      </w:pPr>
    </w:p>
    <w:p w:rsidR="00E84FFE" w:rsidRDefault="002640D5">
      <w:pPr>
        <w:spacing w:before="86"/>
        <w:ind w:left="2220" w:right="2069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UNIVERSITÀDINAPOLIFEDERICOII</w:t>
      </w:r>
    </w:p>
    <w:p w:rsidR="00E84FFE" w:rsidRDefault="00E84FFE">
      <w:pPr>
        <w:pStyle w:val="Corpodeltesto"/>
        <w:spacing w:before="2"/>
        <w:ind w:left="0"/>
        <w:rPr>
          <w:rFonts w:ascii="Times New Roman"/>
          <w:sz w:val="32"/>
        </w:rPr>
      </w:pPr>
    </w:p>
    <w:p w:rsidR="00E84FFE" w:rsidRDefault="002640D5">
      <w:pPr>
        <w:ind w:left="3653" w:right="1068" w:hanging="2125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Dipartimento di Neuroscienze e Scienze Riproduttive </w:t>
      </w:r>
      <w:proofErr w:type="gramStart"/>
      <w:r>
        <w:rPr>
          <w:rFonts w:ascii="Times New Roman"/>
          <w:sz w:val="32"/>
        </w:rPr>
        <w:t>ed</w:t>
      </w:r>
      <w:proofErr w:type="gramEnd"/>
      <w:r w:rsidR="000A2DBA">
        <w:rPr>
          <w:rFonts w:ascii="Times New Roman"/>
          <w:sz w:val="32"/>
        </w:rPr>
        <w:t xml:space="preserve"> </w:t>
      </w:r>
      <w:proofErr w:type="spellStart"/>
      <w:r>
        <w:rPr>
          <w:rFonts w:ascii="Times New Roman"/>
          <w:sz w:val="32"/>
        </w:rPr>
        <w:t>Odontostomatologiche</w:t>
      </w:r>
      <w:proofErr w:type="spellEnd"/>
    </w:p>
    <w:p w:rsidR="00E84FFE" w:rsidRDefault="00E84FFE">
      <w:pPr>
        <w:pStyle w:val="Corpodeltesto"/>
        <w:ind w:left="0"/>
        <w:rPr>
          <w:rFonts w:ascii="Times New Roman"/>
          <w:sz w:val="34"/>
        </w:rPr>
      </w:pPr>
    </w:p>
    <w:p w:rsidR="00E84FFE" w:rsidRDefault="00E84FFE">
      <w:pPr>
        <w:pStyle w:val="Corpodeltesto"/>
        <w:spacing w:before="6"/>
        <w:ind w:left="0"/>
        <w:rPr>
          <w:rFonts w:ascii="Times New Roman"/>
          <w:sz w:val="30"/>
        </w:rPr>
      </w:pPr>
    </w:p>
    <w:p w:rsidR="00E84FFE" w:rsidRDefault="002640D5">
      <w:pPr>
        <w:pStyle w:val="Titolo11"/>
        <w:spacing w:line="367" w:lineRule="exact"/>
      </w:pPr>
      <w:r>
        <w:t>C.I.BIOLOGIA APPLICATA</w:t>
      </w:r>
    </w:p>
    <w:p w:rsidR="00E84FFE" w:rsidRDefault="002640D5">
      <w:pPr>
        <w:spacing w:line="390" w:lineRule="exact"/>
        <w:ind w:left="112"/>
        <w:rPr>
          <w:sz w:val="32"/>
        </w:rPr>
      </w:pPr>
      <w:r>
        <w:rPr>
          <w:sz w:val="32"/>
        </w:rPr>
        <w:t>Docente:Prof.Sarnataro Daniela</w:t>
      </w:r>
    </w:p>
    <w:p w:rsidR="00E84FFE" w:rsidRDefault="00E84FFE">
      <w:pPr>
        <w:pStyle w:val="Corpodeltesto"/>
        <w:ind w:left="0"/>
        <w:rPr>
          <w:sz w:val="40"/>
        </w:rPr>
      </w:pPr>
    </w:p>
    <w:p w:rsidR="00E84FFE" w:rsidRDefault="002640D5">
      <w:pPr>
        <w:pStyle w:val="Titolo11"/>
        <w:rPr>
          <w:rFonts w:ascii="Calibri"/>
        </w:rPr>
      </w:pPr>
      <w:r>
        <w:rPr>
          <w:rFonts w:ascii="Calibri"/>
        </w:rPr>
        <w:t>Programma</w:t>
      </w:r>
    </w:p>
    <w:p w:rsidR="00E84FFE" w:rsidRDefault="002640D5">
      <w:pPr>
        <w:pStyle w:val="Corpodeltesto"/>
        <w:spacing w:before="2"/>
        <w:ind w:right="3047"/>
      </w:pPr>
      <w:r>
        <w:t>Introduzione al corso. Metodi di osservazione delle cellule.Strutturacellulareneiprocariotiedeucarioti.</w:t>
      </w:r>
    </w:p>
    <w:p w:rsidR="00E84FFE" w:rsidRDefault="002640D5">
      <w:pPr>
        <w:pStyle w:val="Corpodeltesto"/>
        <w:spacing w:before="1"/>
        <w:ind w:right="123"/>
      </w:pPr>
      <w:r>
        <w:t xml:space="preserve">I processi energetici: l’ATP, mediatore tra processi </w:t>
      </w:r>
      <w:proofErr w:type="spellStart"/>
      <w:r>
        <w:t>eso-</w:t>
      </w:r>
      <w:proofErr w:type="spellEnd"/>
      <w:r>
        <w:t xml:space="preserve"> e </w:t>
      </w:r>
      <w:proofErr w:type="spellStart"/>
      <w:r>
        <w:t>endo-ergonici</w:t>
      </w:r>
      <w:proofErr w:type="spellEnd"/>
      <w:r>
        <w:t xml:space="preserve">. I mitocondrie i cloroplasti come generatori di energia. La teoria </w:t>
      </w:r>
      <w:proofErr w:type="spellStart"/>
      <w:r>
        <w:t>endosimbiontica</w:t>
      </w:r>
      <w:proofErr w:type="spellEnd"/>
      <w:r>
        <w:t xml:space="preserve"> dell'origine </w:t>
      </w:r>
      <w:proofErr w:type="spellStart"/>
      <w:r>
        <w:t>dimitocondriecloroplasti</w:t>
      </w:r>
      <w:proofErr w:type="spellEnd"/>
      <w:r>
        <w:t>.</w:t>
      </w:r>
    </w:p>
    <w:p w:rsidR="00E84FFE" w:rsidRDefault="002640D5">
      <w:pPr>
        <w:pStyle w:val="Corpodeltesto"/>
        <w:ind w:right="123"/>
      </w:pPr>
      <w:r>
        <w:t>Macromolecole: struttura, forma e funzione. Processi di riconoscimento molecolare:l’importanzadelleinterazionideboli.</w:t>
      </w:r>
    </w:p>
    <w:p w:rsidR="00E84FFE" w:rsidRDefault="002640D5">
      <w:pPr>
        <w:pStyle w:val="Corpodeltesto"/>
        <w:ind w:right="141"/>
      </w:pPr>
      <w:r>
        <w:t xml:space="preserve">La struttura delle proteine. Il principio di auto-assemblaggio. La regolazionedell'attività degli enzimi. </w:t>
      </w:r>
      <w:proofErr w:type="spellStart"/>
      <w:r>
        <w:t>Allosteria</w:t>
      </w:r>
      <w:proofErr w:type="spellEnd"/>
      <w:r>
        <w:t xml:space="preserve">, fosforilazione, </w:t>
      </w:r>
      <w:proofErr w:type="spellStart"/>
      <w:r>
        <w:t>defosforilazione</w:t>
      </w:r>
      <w:proofErr w:type="spellEnd"/>
      <w:r>
        <w:t xml:space="preserve">. </w:t>
      </w:r>
      <w:proofErr w:type="spellStart"/>
      <w:r>
        <w:t>Proteinchinasi</w:t>
      </w:r>
      <w:proofErr w:type="spellEnd"/>
      <w:r>
        <w:t xml:space="preserve"> </w:t>
      </w:r>
      <w:proofErr w:type="spellStart"/>
      <w:r>
        <w:t>efosfatasi.LeproteineG.</w:t>
      </w:r>
      <w:proofErr w:type="spellEnd"/>
    </w:p>
    <w:p w:rsidR="00E84FFE" w:rsidRDefault="002640D5">
      <w:pPr>
        <w:pStyle w:val="Corpodeltesto"/>
      </w:pPr>
      <w:r>
        <w:t>Membrana: organizzazione strutturale e funzionale. I recettori di membrana.Trasportodiioniepiccolemolecoleattraversolamembrana.Lapressioneosmotica.</w:t>
      </w:r>
    </w:p>
    <w:p w:rsidR="00E84FFE" w:rsidRDefault="002640D5">
      <w:pPr>
        <w:pStyle w:val="Corpodeltesto"/>
        <w:spacing w:line="242" w:lineRule="auto"/>
        <w:ind w:right="600"/>
      </w:pPr>
      <w:r>
        <w:t>Il DNA: struttura e funzione. Duplicazione del DNA. L’organizzazione del DNA neicromosomieucarioti.L’organizzazionedeigenisuicromosomi.</w:t>
      </w:r>
    </w:p>
    <w:p w:rsidR="00E84FFE" w:rsidRDefault="002640D5">
      <w:pPr>
        <w:pStyle w:val="Corpodeltesto"/>
        <w:ind w:right="1399"/>
      </w:pPr>
      <w:r>
        <w:t>RNA, tipi e funzioni. Caratteristiche generali della struttura, trascrizione ematurazionedegli RNAneiprocariotiedeucarioti.Struttura delgene.</w:t>
      </w:r>
    </w:p>
    <w:p w:rsidR="00E84FFE" w:rsidRDefault="002640D5">
      <w:pPr>
        <w:pStyle w:val="Corpodeltesto"/>
        <w:ind w:right="1929"/>
      </w:pPr>
      <w:r>
        <w:t>I ribosomi. Il codice genetico e la traduzione del messaggio genetico.Regolazionedell’espressionegenicanegli eucarioti.</w:t>
      </w:r>
    </w:p>
    <w:p w:rsidR="00E84FFE" w:rsidRDefault="00E84FFE">
      <w:pPr>
        <w:sectPr w:rsidR="00E84FFE">
          <w:type w:val="continuous"/>
          <w:pgSz w:w="11910" w:h="16840"/>
          <w:pgMar w:top="1580" w:right="1040" w:bottom="280" w:left="1020" w:header="720" w:footer="720" w:gutter="0"/>
          <w:cols w:space="720"/>
        </w:sectPr>
      </w:pPr>
    </w:p>
    <w:p w:rsidR="00E84FFE" w:rsidRDefault="002640D5">
      <w:pPr>
        <w:pStyle w:val="Corpodeltesto"/>
        <w:spacing w:before="17"/>
      </w:pPr>
      <w:r>
        <w:lastRenderedPageBreak/>
        <w:t>Batterievirus.Regolazionedell’espressionegenica neibatterieneibatteriofagi</w:t>
      </w:r>
    </w:p>
    <w:p w:rsidR="00E84FFE" w:rsidRDefault="002640D5">
      <w:pPr>
        <w:pStyle w:val="Corpodeltesto"/>
        <w:spacing w:before="2"/>
        <w:ind w:right="346"/>
      </w:pPr>
      <w:r>
        <w:t>Il citoscheletro e la matrice extracellulare. I tessuti: matrice extracellulare e tessuticonnettivi,stratiepiteliali egiunzionicellula-cellula.</w:t>
      </w:r>
    </w:p>
    <w:p w:rsidR="00E84FFE" w:rsidRDefault="002640D5">
      <w:pPr>
        <w:pStyle w:val="Corpodeltesto"/>
        <w:ind w:right="462"/>
      </w:pPr>
      <w:r>
        <w:t xml:space="preserve">Compartimentalizzazione intracellulare. Il reticolo endoplasmico e il complesso diGolgi. Modificazioni </w:t>
      </w:r>
      <w:proofErr w:type="spellStart"/>
      <w:r>
        <w:t>post-traduzionali</w:t>
      </w:r>
      <w:proofErr w:type="spellEnd"/>
      <w:r>
        <w:t xml:space="preserve"> delle proteine. Il trasporto vescicolare. IlreticoloendoplasmicoeilcomplessodiGolginellosmistamentodelleproteine.</w:t>
      </w:r>
    </w:p>
    <w:p w:rsidR="00E84FFE" w:rsidRDefault="002640D5">
      <w:pPr>
        <w:pStyle w:val="Corpodeltesto"/>
        <w:ind w:right="727"/>
      </w:pPr>
      <w:r>
        <w:t>Il trasporto attraverso la membrana di macromolecole e particelle: esocitosi edendocitosi.Ilisosomi.</w:t>
      </w:r>
    </w:p>
    <w:p w:rsidR="00E84FFE" w:rsidRDefault="002640D5">
      <w:pPr>
        <w:pStyle w:val="Corpodeltesto"/>
        <w:ind w:right="441"/>
      </w:pPr>
      <w:r>
        <w:t>I prodotti proteici della secrezione delle cellule animali: ormoni, enzimi, anticorpi,matriceextracellulare.</w:t>
      </w:r>
    </w:p>
    <w:p w:rsidR="00E84FFE" w:rsidRDefault="002640D5">
      <w:pPr>
        <w:pStyle w:val="Corpodeltesto"/>
        <w:spacing w:before="1"/>
        <w:ind w:right="406"/>
      </w:pPr>
      <w:r>
        <w:t>Il ciclo cellulare. Mitosi. L’origine della variabilità genetica attraverso le mutazioni.Mutazioni cromosomiche, oncogeni, oncogeni e traslocazioni cromosomiche neitumori.</w:t>
      </w:r>
    </w:p>
    <w:p w:rsidR="00E84FFE" w:rsidRDefault="002640D5">
      <w:pPr>
        <w:pStyle w:val="Corpodeltesto"/>
        <w:ind w:right="386"/>
      </w:pPr>
      <w:r>
        <w:t xml:space="preserve">Mutazioni geniche. Effetti delle mutazioni puntiformi </w:t>
      </w:r>
      <w:proofErr w:type="gramStart"/>
      <w:r>
        <w:t xml:space="preserve">sulla </w:t>
      </w:r>
      <w:proofErr w:type="gramEnd"/>
      <w:r>
        <w:t>attività della proteine esullatrascrizione,processingotraduzionedelmessaggio genico.</w:t>
      </w:r>
    </w:p>
    <w:p w:rsidR="00E84FFE" w:rsidRDefault="002640D5">
      <w:pPr>
        <w:pStyle w:val="Corpodeltesto"/>
        <w:ind w:right="851"/>
      </w:pPr>
      <w:r>
        <w:t>Evoluzione dell’organizzazione del genoma, sequenze ripetute. Amplificazioni,delezionieinversionigeniche. Glielementigeneticitrasponibili.</w:t>
      </w:r>
    </w:p>
    <w:p w:rsidR="00E84FFE" w:rsidRDefault="002640D5">
      <w:pPr>
        <w:pStyle w:val="Corpodeltesto"/>
        <w:ind w:right="164"/>
      </w:pPr>
      <w:r>
        <w:t xml:space="preserve">Processi di ricombinazione omologa del materiale genetico. </w:t>
      </w:r>
      <w:proofErr w:type="spellStart"/>
      <w:r>
        <w:t>Crossing-over</w:t>
      </w:r>
      <w:proofErr w:type="spellEnd"/>
      <w:r>
        <w:t xml:space="preserve">, </w:t>
      </w:r>
      <w:proofErr w:type="spellStart"/>
      <w:r>
        <w:t>ineguale.Ricombinazioneintramolecolare.</w:t>
      </w:r>
      <w:proofErr w:type="spellEnd"/>
    </w:p>
    <w:p w:rsidR="00E84FFE" w:rsidRDefault="002640D5">
      <w:pPr>
        <w:pStyle w:val="Corpodeltesto"/>
        <w:ind w:right="2273"/>
      </w:pPr>
      <w:r>
        <w:t>La comunicazione tra cellule, principi della segnalazione cellulare.Regolazionedelciclocellulare,apoptosiecancro</w:t>
      </w:r>
    </w:p>
    <w:p w:rsidR="00E84FFE" w:rsidRDefault="004F1F56">
      <w:pPr>
        <w:pStyle w:val="Corpodeltesto"/>
        <w:ind w:right="465"/>
      </w:pPr>
      <w:r>
        <w:t xml:space="preserve">Mitosi e </w:t>
      </w:r>
      <w:bookmarkStart w:id="0" w:name="_GoBack"/>
      <w:bookmarkEnd w:id="0"/>
      <w:r w:rsidR="002640D5">
        <w:t xml:space="preserve">Meiosi. Riproduzione sessuale e variabilità genetica: segregazione e </w:t>
      </w:r>
      <w:proofErr w:type="spellStart"/>
      <w:r w:rsidR="002640D5">
        <w:t>assortimentodeglialleli</w:t>
      </w:r>
      <w:proofErr w:type="spellEnd"/>
      <w:r w:rsidR="002640D5">
        <w:t>,</w:t>
      </w:r>
      <w:proofErr w:type="spellStart"/>
      <w:r w:rsidR="002640D5">
        <w:t>ricombinazioneecrossing-over</w:t>
      </w:r>
      <w:proofErr w:type="spellEnd"/>
      <w:r w:rsidR="002640D5">
        <w:t>.</w:t>
      </w:r>
    </w:p>
    <w:p w:rsidR="00E84FFE" w:rsidRDefault="002640D5">
      <w:pPr>
        <w:pStyle w:val="Corpodeltesto"/>
        <w:ind w:right="497"/>
      </w:pPr>
      <w:r>
        <w:t>Gametogenesi e Fecondazione. Determinazione del sesso. Mancata disgiunzione.Lageneticamendeliana:</w:t>
      </w:r>
    </w:p>
    <w:p w:rsidR="00E84FFE" w:rsidRDefault="002640D5">
      <w:pPr>
        <w:pStyle w:val="Corpodeltesto"/>
        <w:ind w:right="452"/>
      </w:pPr>
      <w:r>
        <w:t xml:space="preserve">Trasmissione di caratteri </w:t>
      </w:r>
      <w:proofErr w:type="spellStart"/>
      <w:r>
        <w:t>monofattoriali</w:t>
      </w:r>
      <w:proofErr w:type="spellEnd"/>
      <w:r>
        <w:t>. La genetica mendeliana nell’uomo. Basicromosomiche della ereditarietà, determinazione del sesso e caratteri associati alsesso. Alberi genealogici. Controllo genetico del metabolismo. Ambiente edespressionegenica.</w:t>
      </w:r>
    </w:p>
    <w:p w:rsidR="00E84FFE" w:rsidRDefault="002640D5">
      <w:pPr>
        <w:pStyle w:val="Corpodeltesto"/>
        <w:ind w:right="92"/>
      </w:pPr>
      <w:r>
        <w:t xml:space="preserve">Estensioni dell’eredità mendeliana: Dominanza incompleta. </w:t>
      </w:r>
      <w:proofErr w:type="spellStart"/>
      <w:r>
        <w:t>Codominanza.Sovradominanza.</w:t>
      </w:r>
      <w:proofErr w:type="spellEnd"/>
      <w:r>
        <w:t xml:space="preserve"> Polimorfismo. Penetranza. Espressività. Pleiotropia. Interazione trageni e rapporti mendeliani modificati: Epistasi; Complementazione; Ridondanzagenica;Soppressoriintergenici.</w:t>
      </w:r>
    </w:p>
    <w:p w:rsidR="00E84FFE" w:rsidRDefault="002640D5">
      <w:pPr>
        <w:pStyle w:val="Corpodeltesto"/>
        <w:spacing w:line="242" w:lineRule="auto"/>
        <w:ind w:right="803"/>
      </w:pPr>
      <w:r>
        <w:t xml:space="preserve">Ereditarietà delle malattie </w:t>
      </w:r>
      <w:proofErr w:type="spellStart"/>
      <w:r>
        <w:t>monofattoriali</w:t>
      </w:r>
      <w:proofErr w:type="spellEnd"/>
      <w:r>
        <w:t xml:space="preserve"> </w:t>
      </w:r>
      <w:proofErr w:type="spellStart"/>
      <w:r>
        <w:t>autosomiche</w:t>
      </w:r>
      <w:proofErr w:type="spellEnd"/>
      <w:r>
        <w:t xml:space="preserve"> e legate al sesso di tipodominanteeditiporecessivo.Malattieereditarieditipodinamico:coreadi</w:t>
      </w:r>
    </w:p>
    <w:p w:rsidR="00E84FFE" w:rsidRDefault="002640D5">
      <w:pPr>
        <w:pStyle w:val="Corpodeltesto"/>
        <w:ind w:right="290"/>
      </w:pPr>
      <w:r>
        <w:t xml:space="preserve">Huntington. Malattie ereditarie da errore di “imprinting”: sindromi di </w:t>
      </w:r>
      <w:proofErr w:type="spellStart"/>
      <w:r>
        <w:t>Angelmann</w:t>
      </w:r>
      <w:proofErr w:type="spellEnd"/>
      <w:r>
        <w:t xml:space="preserve"> </w:t>
      </w:r>
      <w:proofErr w:type="spellStart"/>
      <w:r>
        <w:t>ediPrader-Willy</w:t>
      </w:r>
      <w:proofErr w:type="spellEnd"/>
      <w:r>
        <w:t>.</w:t>
      </w:r>
    </w:p>
    <w:p w:rsidR="00E84FFE" w:rsidRDefault="002640D5">
      <w:pPr>
        <w:pStyle w:val="Corpodeltesto"/>
        <w:ind w:right="2078"/>
      </w:pPr>
      <w:r>
        <w:t xml:space="preserve">Concatenazione, </w:t>
      </w:r>
      <w:proofErr w:type="spellStart"/>
      <w:r>
        <w:t>crossing-over</w:t>
      </w:r>
      <w:proofErr w:type="spellEnd"/>
      <w:r>
        <w:t xml:space="preserve"> e mappatura dei geni negli eucariotiRicombinazionegeneticaneibatterie batteriofagi.</w:t>
      </w:r>
    </w:p>
    <w:p w:rsidR="00E84FFE" w:rsidRDefault="00E84FFE">
      <w:pPr>
        <w:sectPr w:rsidR="00E84FFE">
          <w:pgSz w:w="11910" w:h="16840"/>
          <w:pgMar w:top="1380" w:right="1040" w:bottom="280" w:left="1020" w:header="720" w:footer="720" w:gutter="0"/>
          <w:cols w:space="720"/>
        </w:sectPr>
      </w:pPr>
    </w:p>
    <w:p w:rsidR="00E84FFE" w:rsidRDefault="002640D5">
      <w:pPr>
        <w:pStyle w:val="Corpodeltesto"/>
        <w:spacing w:before="17"/>
      </w:pPr>
      <w:r>
        <w:lastRenderedPageBreak/>
        <w:t>LIBRIDITESTOADOTTATIECONSIGLIATI</w:t>
      </w:r>
    </w:p>
    <w:p w:rsidR="00E84FFE" w:rsidRDefault="002640D5">
      <w:pPr>
        <w:pStyle w:val="Paragrafoelenco"/>
        <w:numPr>
          <w:ilvl w:val="0"/>
          <w:numId w:val="1"/>
        </w:numPr>
        <w:tabs>
          <w:tab w:val="left" w:pos="263"/>
        </w:tabs>
        <w:spacing w:before="2"/>
        <w:ind w:right="1283" w:firstLine="0"/>
        <w:rPr>
          <w:sz w:val="28"/>
        </w:rPr>
      </w:pPr>
      <w:r>
        <w:rPr>
          <w:sz w:val="28"/>
        </w:rPr>
        <w:t>ALBERTS - BRAY - AAVV | L' essenziale di biologia molecolare della cellulaEditore:Zanichelli</w:t>
      </w:r>
    </w:p>
    <w:p w:rsidR="00E84FFE" w:rsidRDefault="002640D5">
      <w:pPr>
        <w:pStyle w:val="Paragrafoelenco"/>
        <w:numPr>
          <w:ilvl w:val="0"/>
          <w:numId w:val="1"/>
        </w:numPr>
        <w:tabs>
          <w:tab w:val="left" w:pos="263"/>
        </w:tabs>
        <w:spacing w:line="341" w:lineRule="exact"/>
        <w:ind w:left="262" w:hanging="151"/>
        <w:rPr>
          <w:sz w:val="28"/>
        </w:rPr>
      </w:pPr>
      <w:r>
        <w:rPr>
          <w:sz w:val="28"/>
        </w:rPr>
        <w:t>WOLFES.L.,BiologiaCellulareeMolecolare,Ed.EdiSES,Napoli,IVedizione</w:t>
      </w:r>
    </w:p>
    <w:p w:rsidR="00E84FFE" w:rsidRDefault="002640D5">
      <w:pPr>
        <w:pStyle w:val="Paragrafoelenco"/>
        <w:numPr>
          <w:ilvl w:val="0"/>
          <w:numId w:val="1"/>
        </w:numPr>
        <w:tabs>
          <w:tab w:val="left" w:pos="263"/>
        </w:tabs>
        <w:spacing w:line="341" w:lineRule="exact"/>
        <w:ind w:left="262" w:hanging="151"/>
        <w:rPr>
          <w:sz w:val="28"/>
        </w:rPr>
      </w:pPr>
      <w:r>
        <w:rPr>
          <w:sz w:val="28"/>
        </w:rPr>
        <w:t>RUSSEL,</w:t>
      </w:r>
      <w:proofErr w:type="spellStart"/>
      <w:r>
        <w:rPr>
          <w:sz w:val="28"/>
        </w:rPr>
        <w:t>P.J.</w:t>
      </w:r>
      <w:proofErr w:type="spellEnd"/>
      <w:r>
        <w:rPr>
          <w:sz w:val="28"/>
        </w:rPr>
        <w:t>,</w:t>
      </w:r>
      <w:proofErr w:type="spellStart"/>
      <w:r>
        <w:rPr>
          <w:sz w:val="28"/>
        </w:rPr>
        <w:t>iGenetica</w:t>
      </w:r>
      <w:proofErr w:type="spellEnd"/>
      <w:r>
        <w:rPr>
          <w:sz w:val="28"/>
        </w:rPr>
        <w:t>.,I.,</w:t>
      </w:r>
      <w:proofErr w:type="spellStart"/>
      <w:r>
        <w:rPr>
          <w:sz w:val="28"/>
        </w:rPr>
        <w:t>Ed.Pearson</w:t>
      </w:r>
      <w:proofErr w:type="spellEnd"/>
    </w:p>
    <w:p w:rsidR="00E84FFE" w:rsidRDefault="002640D5">
      <w:pPr>
        <w:pStyle w:val="Paragrafoelenco"/>
        <w:numPr>
          <w:ilvl w:val="0"/>
          <w:numId w:val="1"/>
        </w:numPr>
        <w:tabs>
          <w:tab w:val="left" w:pos="263"/>
        </w:tabs>
        <w:ind w:right="471" w:firstLine="0"/>
        <w:rPr>
          <w:sz w:val="28"/>
        </w:rPr>
      </w:pPr>
      <w:r>
        <w:rPr>
          <w:sz w:val="28"/>
        </w:rPr>
        <w:t xml:space="preserve">DOLFINI-TENCHINI., Genetica generale ed umana, Ed. </w:t>
      </w:r>
      <w:proofErr w:type="spellStart"/>
      <w:r>
        <w:rPr>
          <w:sz w:val="28"/>
        </w:rPr>
        <w:t>EdiSES</w:t>
      </w:r>
      <w:proofErr w:type="spellEnd"/>
      <w:r>
        <w:rPr>
          <w:sz w:val="28"/>
        </w:rPr>
        <w:t xml:space="preserve">, Napoli. </w:t>
      </w:r>
    </w:p>
    <w:p w:rsidR="00E84FFE" w:rsidRDefault="002640D5" w:rsidP="004F1F56">
      <w:pPr>
        <w:pStyle w:val="Paragrafoelenco"/>
        <w:numPr>
          <w:ilvl w:val="0"/>
          <w:numId w:val="1"/>
        </w:numPr>
        <w:tabs>
          <w:tab w:val="left" w:pos="263"/>
        </w:tabs>
        <w:spacing w:before="3"/>
        <w:ind w:left="262" w:hanging="151"/>
        <w:rPr>
          <w:sz w:val="28"/>
        </w:rPr>
      </w:pPr>
      <w:r>
        <w:rPr>
          <w:sz w:val="28"/>
        </w:rPr>
        <w:t>BROOKER,</w:t>
      </w:r>
      <w:proofErr w:type="spellStart"/>
      <w:r>
        <w:rPr>
          <w:sz w:val="28"/>
        </w:rPr>
        <w:t>PrincipidiGenetica</w:t>
      </w:r>
      <w:proofErr w:type="spellEnd"/>
      <w:r>
        <w:rPr>
          <w:sz w:val="28"/>
        </w:rPr>
        <w:t>,</w:t>
      </w:r>
      <w:proofErr w:type="spellStart"/>
      <w:r>
        <w:rPr>
          <w:sz w:val="28"/>
        </w:rPr>
        <w:t>EdMcgraw</w:t>
      </w:r>
      <w:r w:rsidRPr="004F1F56">
        <w:rPr>
          <w:sz w:val="28"/>
        </w:rPr>
        <w:t>-Hill</w:t>
      </w:r>
      <w:proofErr w:type="spellEnd"/>
      <w:r w:rsidR="00243922" w:rsidRPr="004F1F56">
        <w:rPr>
          <w:sz w:val="28"/>
        </w:rPr>
        <w:t>.</w:t>
      </w:r>
    </w:p>
    <w:p w:rsidR="004F1F56" w:rsidRDefault="004F1F56" w:rsidP="004F1F56">
      <w:pPr>
        <w:tabs>
          <w:tab w:val="left" w:pos="263"/>
        </w:tabs>
        <w:spacing w:before="3"/>
        <w:rPr>
          <w:sz w:val="28"/>
        </w:rPr>
      </w:pPr>
    </w:p>
    <w:p w:rsidR="004F1F56" w:rsidRDefault="004F1F56" w:rsidP="004F1F56">
      <w:pPr>
        <w:tabs>
          <w:tab w:val="left" w:pos="263"/>
        </w:tabs>
        <w:spacing w:before="3"/>
        <w:rPr>
          <w:sz w:val="28"/>
        </w:rPr>
      </w:pPr>
    </w:p>
    <w:p w:rsidR="004F1F56" w:rsidRDefault="004F1F56" w:rsidP="004F1F56">
      <w:pPr>
        <w:tabs>
          <w:tab w:val="left" w:pos="263"/>
        </w:tabs>
        <w:spacing w:before="3"/>
        <w:rPr>
          <w:sz w:val="28"/>
        </w:rPr>
      </w:pPr>
      <w:r>
        <w:rPr>
          <w:sz w:val="28"/>
        </w:rPr>
        <w:t>Firma Docente</w:t>
      </w:r>
    </w:p>
    <w:p w:rsidR="004F1F56" w:rsidRDefault="004F1F56" w:rsidP="004F1F56">
      <w:pPr>
        <w:tabs>
          <w:tab w:val="left" w:pos="263"/>
        </w:tabs>
        <w:spacing w:before="3"/>
        <w:rPr>
          <w:sz w:val="28"/>
        </w:rPr>
      </w:pPr>
      <w:r>
        <w:rPr>
          <w:sz w:val="28"/>
        </w:rPr>
        <w:t>Daniela Sarnataro</w:t>
      </w:r>
    </w:p>
    <w:p w:rsidR="004F1F56" w:rsidRPr="004F1F56" w:rsidRDefault="004F1F56" w:rsidP="004F1F56">
      <w:pPr>
        <w:tabs>
          <w:tab w:val="left" w:pos="263"/>
        </w:tabs>
        <w:spacing w:before="3"/>
        <w:rPr>
          <w:sz w:val="28"/>
        </w:rPr>
      </w:pPr>
      <w:r>
        <w:rPr>
          <w:noProof/>
          <w:sz w:val="28"/>
          <w:lang w:eastAsia="it-IT"/>
        </w:rPr>
        <w:drawing>
          <wp:inline distT="0" distB="0" distL="0" distR="0">
            <wp:extent cx="1448240" cy="49017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a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83" cy="4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F56" w:rsidRPr="004F1F56" w:rsidSect="00E84FFE">
      <w:pgSz w:w="11910" w:h="1684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DB6"/>
    <w:multiLevelType w:val="hybridMultilevel"/>
    <w:tmpl w:val="F78E97C4"/>
    <w:lvl w:ilvl="0" w:tplc="DE8C2ECA">
      <w:numFmt w:val="bullet"/>
      <w:lvlText w:val="-"/>
      <w:lvlJc w:val="left"/>
      <w:pPr>
        <w:ind w:left="112" w:hanging="15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60D42A72">
      <w:numFmt w:val="bullet"/>
      <w:lvlText w:val="•"/>
      <w:lvlJc w:val="left"/>
      <w:pPr>
        <w:ind w:left="1092" w:hanging="150"/>
      </w:pPr>
      <w:rPr>
        <w:rFonts w:hint="default"/>
        <w:lang w:val="it-IT" w:eastAsia="en-US" w:bidi="ar-SA"/>
      </w:rPr>
    </w:lvl>
    <w:lvl w:ilvl="2" w:tplc="A44691E6">
      <w:numFmt w:val="bullet"/>
      <w:lvlText w:val="•"/>
      <w:lvlJc w:val="left"/>
      <w:pPr>
        <w:ind w:left="2065" w:hanging="150"/>
      </w:pPr>
      <w:rPr>
        <w:rFonts w:hint="default"/>
        <w:lang w:val="it-IT" w:eastAsia="en-US" w:bidi="ar-SA"/>
      </w:rPr>
    </w:lvl>
    <w:lvl w:ilvl="3" w:tplc="9D0E9152">
      <w:numFmt w:val="bullet"/>
      <w:lvlText w:val="•"/>
      <w:lvlJc w:val="left"/>
      <w:pPr>
        <w:ind w:left="3037" w:hanging="150"/>
      </w:pPr>
      <w:rPr>
        <w:rFonts w:hint="default"/>
        <w:lang w:val="it-IT" w:eastAsia="en-US" w:bidi="ar-SA"/>
      </w:rPr>
    </w:lvl>
    <w:lvl w:ilvl="4" w:tplc="5A6AF1BA">
      <w:numFmt w:val="bullet"/>
      <w:lvlText w:val="•"/>
      <w:lvlJc w:val="left"/>
      <w:pPr>
        <w:ind w:left="4010" w:hanging="150"/>
      </w:pPr>
      <w:rPr>
        <w:rFonts w:hint="default"/>
        <w:lang w:val="it-IT" w:eastAsia="en-US" w:bidi="ar-SA"/>
      </w:rPr>
    </w:lvl>
    <w:lvl w:ilvl="5" w:tplc="1E0ACDE8">
      <w:numFmt w:val="bullet"/>
      <w:lvlText w:val="•"/>
      <w:lvlJc w:val="left"/>
      <w:pPr>
        <w:ind w:left="4983" w:hanging="150"/>
      </w:pPr>
      <w:rPr>
        <w:rFonts w:hint="default"/>
        <w:lang w:val="it-IT" w:eastAsia="en-US" w:bidi="ar-SA"/>
      </w:rPr>
    </w:lvl>
    <w:lvl w:ilvl="6" w:tplc="D6867EF8">
      <w:numFmt w:val="bullet"/>
      <w:lvlText w:val="•"/>
      <w:lvlJc w:val="left"/>
      <w:pPr>
        <w:ind w:left="5955" w:hanging="150"/>
      </w:pPr>
      <w:rPr>
        <w:rFonts w:hint="default"/>
        <w:lang w:val="it-IT" w:eastAsia="en-US" w:bidi="ar-SA"/>
      </w:rPr>
    </w:lvl>
    <w:lvl w:ilvl="7" w:tplc="82241D1C">
      <w:numFmt w:val="bullet"/>
      <w:lvlText w:val="•"/>
      <w:lvlJc w:val="left"/>
      <w:pPr>
        <w:ind w:left="6928" w:hanging="150"/>
      </w:pPr>
      <w:rPr>
        <w:rFonts w:hint="default"/>
        <w:lang w:val="it-IT" w:eastAsia="en-US" w:bidi="ar-SA"/>
      </w:rPr>
    </w:lvl>
    <w:lvl w:ilvl="8" w:tplc="18143092">
      <w:numFmt w:val="bullet"/>
      <w:lvlText w:val="•"/>
      <w:lvlJc w:val="left"/>
      <w:pPr>
        <w:ind w:left="7901" w:hanging="1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84FFE"/>
    <w:rsid w:val="000A2DBA"/>
    <w:rsid w:val="00243922"/>
    <w:rsid w:val="002640D5"/>
    <w:rsid w:val="004F1F56"/>
    <w:rsid w:val="00534930"/>
    <w:rsid w:val="006E6000"/>
    <w:rsid w:val="008E3F5B"/>
    <w:rsid w:val="00E84FFE"/>
    <w:rsid w:val="00E94B67"/>
    <w:rsid w:val="00E9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4FF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F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4FFE"/>
    <w:pPr>
      <w:ind w:left="112"/>
    </w:pPr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E84FFE"/>
    <w:pPr>
      <w:ind w:left="11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84FFE"/>
    <w:pPr>
      <w:ind w:left="262" w:hanging="151"/>
    </w:pPr>
  </w:style>
  <w:style w:type="paragraph" w:customStyle="1" w:styleId="TableParagraph">
    <w:name w:val="Table Paragraph"/>
    <w:basedOn w:val="Normale"/>
    <w:uiPriority w:val="1"/>
    <w:qFormat/>
    <w:rsid w:val="00E84F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0D5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2021-06-04T08:51:00Z</cp:lastPrinted>
  <dcterms:created xsi:type="dcterms:W3CDTF">2021-06-04T08:51:00Z</dcterms:created>
  <dcterms:modified xsi:type="dcterms:W3CDTF">2021-06-04T08:51:00Z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2021-06-03T00:00:00Z</vt:filetime>
  </property>
</Properties>
</file>