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69" w:rsidRPr="00DB331B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DB331B">
        <w:rPr>
          <w:rFonts w:eastAsiaTheme="majorEastAsia"/>
          <w:bCs/>
          <w:sz w:val="32"/>
          <w:szCs w:val="32"/>
        </w:rPr>
        <w:t>SCHEDA DELL'INSEGNAMENTO</w:t>
      </w:r>
      <w:r w:rsidR="004F0FE0" w:rsidRPr="00DB331B">
        <w:rPr>
          <w:rFonts w:eastAsiaTheme="majorEastAsia"/>
          <w:bCs/>
          <w:sz w:val="32"/>
          <w:szCs w:val="32"/>
        </w:rPr>
        <w:t>(SI)</w:t>
      </w:r>
    </w:p>
    <w:p w:rsidR="00C81489" w:rsidRPr="00DB331B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:rsidR="00C81489" w:rsidRPr="00DB331B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DB331B">
        <w:rPr>
          <w:rFonts w:eastAsiaTheme="majorEastAsia"/>
          <w:bCs/>
          <w:sz w:val="32"/>
          <w:szCs w:val="32"/>
        </w:rPr>
        <w:t>"</w:t>
      </w:r>
      <w:r w:rsidR="00F01B61" w:rsidRPr="00DB331B">
        <w:rPr>
          <w:rFonts w:eastAsiaTheme="majorEastAsia"/>
          <w:bCs/>
          <w:sz w:val="32"/>
          <w:szCs w:val="32"/>
        </w:rPr>
        <w:t>PATOLOGIA SPECIALE ODONTOSTOMATOLOGICA</w:t>
      </w:r>
      <w:r w:rsidRPr="00DB331B">
        <w:rPr>
          <w:rFonts w:eastAsiaTheme="majorEastAsia"/>
          <w:bCs/>
          <w:sz w:val="32"/>
          <w:szCs w:val="32"/>
        </w:rPr>
        <w:t>"</w:t>
      </w:r>
    </w:p>
    <w:p w:rsidR="00C81489" w:rsidRPr="00DB331B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:rsidR="00140009" w:rsidRPr="00DB331B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DB331B">
        <w:rPr>
          <w:rFonts w:eastAsiaTheme="majorEastAsia"/>
          <w:bCs/>
          <w:sz w:val="32"/>
          <w:szCs w:val="32"/>
        </w:rPr>
        <w:t>SSD</w:t>
      </w:r>
      <w:r w:rsidR="00DB331B" w:rsidRPr="00DB331B">
        <w:rPr>
          <w:rFonts w:eastAsiaTheme="majorEastAsia"/>
          <w:bCs/>
          <w:sz w:val="32"/>
          <w:szCs w:val="32"/>
        </w:rPr>
        <w:t xml:space="preserve">: </w:t>
      </w:r>
      <w:r w:rsidR="00BB5C4A" w:rsidRPr="00DB331B">
        <w:rPr>
          <w:rFonts w:eastAsiaTheme="majorEastAsia"/>
          <w:bCs/>
          <w:sz w:val="32"/>
          <w:szCs w:val="32"/>
        </w:rPr>
        <w:t>PATOLOGIA SPECIALE ODONTOSTOMATOLOGICA EDERMATOLOGIA (28308)</w:t>
      </w:r>
    </w:p>
    <w:p w:rsidR="002A1069" w:rsidRPr="00DB331B" w:rsidRDefault="002A1069" w:rsidP="002A1069">
      <w:pPr>
        <w:rPr>
          <w:color w:val="4F81BD" w:themeColor="accent1"/>
        </w:rPr>
      </w:pPr>
    </w:p>
    <w:p w:rsidR="00CA478D" w:rsidRPr="00DB331B" w:rsidRDefault="00602D12" w:rsidP="00837A65">
      <w:pPr>
        <w:ind w:right="-35"/>
        <w:rPr>
          <w:color w:val="4F81BD" w:themeColor="accent1"/>
        </w:rPr>
      </w:pPr>
      <w:r w:rsidRPr="00DB331B">
        <w:rPr>
          <w:color w:val="4F81BD" w:themeColor="accent1"/>
        </w:rPr>
        <w:t xml:space="preserve">* </w:t>
      </w:r>
      <w:r w:rsidR="007D29BE" w:rsidRPr="00DB331B">
        <w:rPr>
          <w:color w:val="4F81BD" w:themeColor="accent1"/>
          <w:sz w:val="20"/>
          <w:szCs w:val="20"/>
        </w:rPr>
        <w:t xml:space="preserve">Il SSD deve essere quello dell’insegnamento </w:t>
      </w:r>
      <w:r w:rsidR="00A7453C" w:rsidRPr="00DB331B">
        <w:rPr>
          <w:color w:val="4F81BD" w:themeColor="accent1"/>
          <w:sz w:val="20"/>
          <w:szCs w:val="20"/>
        </w:rPr>
        <w:t>con riferimento al Regolamento del CdS</w:t>
      </w:r>
      <w:r w:rsidR="007D29BE" w:rsidRPr="00DB331B">
        <w:rPr>
          <w:color w:val="4F81BD" w:themeColor="accent1"/>
          <w:sz w:val="20"/>
          <w:szCs w:val="20"/>
        </w:rPr>
        <w:t>e non quello del docente.</w:t>
      </w:r>
      <w:r w:rsidRPr="00DB331B">
        <w:rPr>
          <w:color w:val="4F81BD" w:themeColor="accent1"/>
          <w:sz w:val="20"/>
          <w:szCs w:val="20"/>
        </w:rPr>
        <w:t>Nel caso di un insegnamento integrato il Settore Scientifico Disciplinare (SSD) va indicato solo se tutti i moduli dell'insegnamento sono ricompresi nello stesso SSD, altrimenti il Settore Scientifico Disciplinare verrà indicato in corrispondenza del MODULO (v. sotto)</w:t>
      </w:r>
      <w:r w:rsidR="00805704" w:rsidRPr="00DB331B">
        <w:rPr>
          <w:color w:val="4F81BD" w:themeColor="accent1"/>
          <w:sz w:val="20"/>
          <w:szCs w:val="20"/>
        </w:rPr>
        <w:t>.</w:t>
      </w:r>
    </w:p>
    <w:p w:rsidR="00602D12" w:rsidRPr="00DB331B" w:rsidRDefault="00602D12" w:rsidP="00837A65">
      <w:pPr>
        <w:ind w:right="-35"/>
      </w:pPr>
    </w:p>
    <w:p w:rsidR="00602D12" w:rsidRPr="00DB331B" w:rsidRDefault="00602D12" w:rsidP="00837A65">
      <w:pPr>
        <w:ind w:right="-35"/>
      </w:pPr>
    </w:p>
    <w:p w:rsidR="008158E3" w:rsidRPr="00DB331B" w:rsidRDefault="008158E3" w:rsidP="008158E3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</w:t>
      </w:r>
      <w:r w:rsidR="007D2580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enominazione del Corso di studi</w:t>
      </w: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7F0D3C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odontoiatria e protesi dentaria</w:t>
      </w:r>
    </w:p>
    <w:p w:rsidR="008158E3" w:rsidRPr="00DB331B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140009" w:rsidRPr="00DB331B" w:rsidRDefault="00140009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Anno Accademico </w:t>
      </w:r>
      <w:r w:rsidR="00F01B61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2022</w:t>
      </w: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-</w:t>
      </w:r>
      <w:r w:rsidR="00F01B61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2023</w:t>
      </w:r>
    </w:p>
    <w:p w:rsidR="00CA7FA0" w:rsidRPr="00DB331B" w:rsidRDefault="00CA7FA0" w:rsidP="00140009">
      <w:pPr>
        <w:ind w:right="-35"/>
        <w:jc w:val="center"/>
      </w:pPr>
    </w:p>
    <w:p w:rsidR="00D72272" w:rsidRPr="00DB331B" w:rsidRDefault="00D72272" w:rsidP="00121404">
      <w:pPr>
        <w:ind w:right="-35"/>
        <w:jc w:val="center"/>
      </w:pPr>
    </w:p>
    <w:p w:rsidR="00121404" w:rsidRPr="00DB331B" w:rsidRDefault="00121404" w:rsidP="00121404">
      <w:pPr>
        <w:ind w:right="-35"/>
        <w:jc w:val="center"/>
      </w:pPr>
    </w:p>
    <w:p w:rsidR="00121404" w:rsidRPr="00DB331B" w:rsidRDefault="00A520A7" w:rsidP="008158E3">
      <w:pPr>
        <w:pStyle w:val="Titolo1"/>
        <w:ind w:right="-35"/>
        <w:jc w:val="center"/>
      </w:pPr>
      <w:r w:rsidRPr="00DB331B">
        <w:t>INFORMAZIONI GENERALI</w:t>
      </w:r>
      <w:r w:rsidR="008158E3" w:rsidRPr="00DB331B">
        <w:t xml:space="preserve"> - docente</w:t>
      </w:r>
    </w:p>
    <w:p w:rsidR="00D72272" w:rsidRPr="00DB331B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</w:rPr>
      </w:pPr>
    </w:p>
    <w:p w:rsidR="00140009" w:rsidRPr="00DB331B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  <w:r w:rsidR="00F01B61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Michele davide mignogna</w:t>
      </w:r>
    </w:p>
    <w:p w:rsidR="00140009" w:rsidRPr="00DB331B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telefono:</w:t>
      </w:r>
      <w:r w:rsidR="00F01B61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0817461111</w:t>
      </w:r>
    </w:p>
    <w:p w:rsidR="00140009" w:rsidRPr="00DB331B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r w:rsidR="00F01B61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mignogna@unina.it</w:t>
      </w:r>
    </w:p>
    <w:p w:rsidR="00140009" w:rsidRPr="00DB331B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8158E3" w:rsidRPr="00DB331B" w:rsidRDefault="008158E3" w:rsidP="008158E3">
      <w:pPr>
        <w:ind w:right="-35"/>
        <w:jc w:val="center"/>
      </w:pPr>
    </w:p>
    <w:p w:rsidR="008158E3" w:rsidRPr="00DB331B" w:rsidRDefault="008158E3" w:rsidP="008158E3">
      <w:pPr>
        <w:pStyle w:val="Titolo1"/>
        <w:ind w:right="-35"/>
        <w:jc w:val="center"/>
      </w:pPr>
      <w:r w:rsidRPr="00DB331B">
        <w:t>INFORMAZIONI GENERALI - ATTIVIT</w:t>
      </w:r>
      <w:r w:rsidR="00C81489" w:rsidRPr="00DB331B">
        <w:t>À</w:t>
      </w:r>
    </w:p>
    <w:p w:rsidR="00140009" w:rsidRPr="00DB331B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D05D02" w:rsidRDefault="00C06A2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INSEGNAMENTO INTEGRATO:</w:t>
      </w:r>
      <w:r w:rsidR="00F01B61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PATOLOGIA SPECIALE ODONTOSTOMATOLOGICA E DERMATOLOGIA (28308)</w:t>
      </w:r>
      <w:r w:rsidR="00D05D02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:rsidR="0030271E" w:rsidRPr="0030271E" w:rsidRDefault="0030271E" w:rsidP="0030271E">
      <w:r w:rsidRPr="0030271E">
        <w:t>SSD DEL MODULO</w:t>
      </w:r>
      <w:r>
        <w:t>: MED/28</w:t>
      </w:r>
    </w:p>
    <w:p w:rsidR="00A520A7" w:rsidRPr="00DB331B" w:rsidRDefault="00A520A7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ANNO DI CORSO</w:t>
      </w:r>
      <w:r w:rsidR="00F01B61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 III</w:t>
      </w: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:rsidR="00A520A7" w:rsidRPr="00DB331B" w:rsidRDefault="00A7453C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PERIODO DI SVOLGIMENTO</w:t>
      </w:r>
      <w:r w:rsidR="00F01B61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: II </w:t>
      </w:r>
      <w:r w:rsidR="00B642F9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A520A7" w:rsidRPr="00DB331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TRE</w:t>
      </w:r>
    </w:p>
    <w:p w:rsidR="00D05D02" w:rsidRPr="00DB331B" w:rsidRDefault="00C81489" w:rsidP="00A7453C">
      <w:pPr>
        <w:rPr>
          <w:rFonts w:cstheme="minorHAnsi"/>
          <w:caps/>
          <w:color w:val="000000" w:themeColor="text1"/>
          <w:sz w:val="24"/>
          <w:szCs w:val="24"/>
        </w:rPr>
      </w:pPr>
      <w:r w:rsidRPr="00DB331B">
        <w:rPr>
          <w:rFonts w:cstheme="minorHAnsi"/>
          <w:caps/>
          <w:color w:val="000000" w:themeColor="text1"/>
          <w:sz w:val="24"/>
          <w:szCs w:val="24"/>
        </w:rPr>
        <w:t>cFU:</w:t>
      </w:r>
      <w:r w:rsidR="00726C0E" w:rsidRPr="00DB331B">
        <w:rPr>
          <w:rFonts w:cstheme="minorHAnsi"/>
          <w:caps/>
          <w:color w:val="000000" w:themeColor="text1"/>
          <w:sz w:val="24"/>
          <w:szCs w:val="24"/>
        </w:rPr>
        <w:t>(F+TP) 6+3</w:t>
      </w:r>
    </w:p>
    <w:p w:rsidR="00D05D02" w:rsidRPr="00DB331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D05D02" w:rsidRPr="00DB331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F652FF" w:rsidRPr="00DB331B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  <w:sz w:val="22"/>
          <w:szCs w:val="22"/>
        </w:rPr>
      </w:pPr>
      <w:r w:rsidRPr="00DB331B">
        <w:rPr>
          <w:rFonts w:asciiTheme="minorHAnsi" w:hAnsiTheme="minorHAnsi"/>
          <w:sz w:val="36"/>
          <w:szCs w:val="36"/>
        </w:rPr>
        <w:br w:type="page"/>
      </w:r>
    </w:p>
    <w:p w:rsidR="0018791B" w:rsidRPr="00DB331B" w:rsidRDefault="0018791B" w:rsidP="00496CB5">
      <w:pPr>
        <w:ind w:left="-142"/>
        <w:rPr>
          <w:rFonts w:cs="Trebuchet MS"/>
          <w:b/>
          <w:bCs/>
          <w:color w:val="006EC0"/>
        </w:rPr>
      </w:pPr>
      <w:r w:rsidRPr="00DB331B">
        <w:rPr>
          <w:rFonts w:cs="Trebuchet MS"/>
          <w:b/>
          <w:bCs/>
          <w:color w:val="006EC0"/>
        </w:rPr>
        <w:lastRenderedPageBreak/>
        <w:t>INSEGNAMENTI PROPEDEUTICI (se previsti dal</w:t>
      </w:r>
      <w:r w:rsidR="00A7453C" w:rsidRPr="00DB331B">
        <w:rPr>
          <w:rFonts w:cs="Trebuchet MS"/>
          <w:b/>
          <w:bCs/>
          <w:color w:val="006EC0"/>
        </w:rPr>
        <w:t xml:space="preserve"> Regolamento</w:t>
      </w:r>
      <w:r w:rsidRPr="00DB331B">
        <w:rPr>
          <w:rFonts w:cs="Trebuchet MS"/>
          <w:b/>
          <w:bCs/>
          <w:color w:val="006EC0"/>
        </w:rPr>
        <w:t xml:space="preserve"> del CdS)</w:t>
      </w:r>
    </w:p>
    <w:p w:rsidR="0018791B" w:rsidRPr="00DB331B" w:rsidRDefault="00726C0E" w:rsidP="00496CB5">
      <w:pPr>
        <w:ind w:left="-142"/>
        <w:rPr>
          <w:rFonts w:cs="Trebuchet MS"/>
          <w:b/>
          <w:bCs/>
        </w:rPr>
      </w:pPr>
      <w:r w:rsidRPr="00DB331B">
        <w:rPr>
          <w:sz w:val="20"/>
          <w:szCs w:val="20"/>
        </w:rPr>
        <w:t>Patologia generale</w:t>
      </w:r>
    </w:p>
    <w:p w:rsidR="0018791B" w:rsidRPr="00DB331B" w:rsidRDefault="0018791B" w:rsidP="00496CB5">
      <w:pPr>
        <w:ind w:left="-142"/>
        <w:rPr>
          <w:rFonts w:cs="Trebuchet MS"/>
          <w:b/>
          <w:bCs/>
          <w:color w:val="006EC0"/>
        </w:rPr>
      </w:pPr>
    </w:p>
    <w:p w:rsidR="00567D8B" w:rsidRPr="00DB331B" w:rsidRDefault="00567D8B" w:rsidP="00496CB5">
      <w:pPr>
        <w:ind w:left="-142"/>
        <w:rPr>
          <w:rFonts w:cs="Trebuchet MS"/>
          <w:b/>
          <w:bCs/>
          <w:color w:val="006EC0"/>
        </w:rPr>
      </w:pPr>
    </w:p>
    <w:p w:rsidR="0018791B" w:rsidRPr="00DB331B" w:rsidRDefault="00B64097" w:rsidP="00496CB5">
      <w:pPr>
        <w:ind w:left="-142"/>
        <w:rPr>
          <w:rFonts w:cs="Trebuchet MS"/>
          <w:b/>
          <w:bCs/>
          <w:color w:val="006EC0"/>
        </w:rPr>
      </w:pPr>
      <w:r w:rsidRPr="00DB331B">
        <w:rPr>
          <w:rFonts w:cs="Trebuchet MS"/>
          <w:b/>
          <w:bCs/>
          <w:color w:val="006EC0"/>
        </w:rPr>
        <w:t>EVENTUALI PREREQUISITI</w:t>
      </w:r>
    </w:p>
    <w:p w:rsidR="0077020B" w:rsidRPr="00DB331B" w:rsidRDefault="00726C0E" w:rsidP="0066303F">
      <w:pPr>
        <w:ind w:left="-142"/>
        <w:rPr>
          <w:rFonts w:cs="Trebuchet MS"/>
          <w:b/>
          <w:bCs/>
          <w:color w:val="006EC0"/>
        </w:rPr>
      </w:pPr>
      <w:r w:rsidRPr="00DB331B">
        <w:rPr>
          <w:sz w:val="20"/>
          <w:szCs w:val="20"/>
        </w:rPr>
        <w:t xml:space="preserve">Conoscenze di anatomia del cavo orale, patologia clinica e biologia cellulare per la comprensione della materia di studio. </w:t>
      </w:r>
    </w:p>
    <w:p w:rsidR="00B64097" w:rsidRPr="00DB331B" w:rsidRDefault="00B64097" w:rsidP="00496CB5">
      <w:pPr>
        <w:ind w:left="-142"/>
        <w:rPr>
          <w:rFonts w:cs="Trebuchet MS"/>
          <w:b/>
          <w:bCs/>
          <w:color w:val="006EC0"/>
        </w:rPr>
      </w:pPr>
    </w:p>
    <w:p w:rsidR="00B64097" w:rsidRPr="00DB331B" w:rsidRDefault="00B64097" w:rsidP="00496CB5">
      <w:pPr>
        <w:ind w:left="-142"/>
        <w:rPr>
          <w:rFonts w:cs="Trebuchet MS"/>
          <w:b/>
          <w:bCs/>
          <w:color w:val="006EC0"/>
        </w:rPr>
      </w:pPr>
    </w:p>
    <w:p w:rsidR="00567D8B" w:rsidRPr="00DB331B" w:rsidRDefault="00567D8B" w:rsidP="00567D8B">
      <w:pPr>
        <w:ind w:left="-142"/>
        <w:rPr>
          <w:rFonts w:cs="Trebuchet MS"/>
          <w:b/>
          <w:bCs/>
          <w:color w:val="006EC0"/>
        </w:rPr>
      </w:pPr>
      <w:r w:rsidRPr="00DB331B">
        <w:rPr>
          <w:rFonts w:cs="Trebuchet MS"/>
          <w:b/>
          <w:bCs/>
          <w:color w:val="006EC0"/>
        </w:rPr>
        <w:t>OBIETTIVI FORMATIVI</w:t>
      </w:r>
    </w:p>
    <w:p w:rsidR="009F09CF" w:rsidRPr="00DB331B" w:rsidRDefault="00726C0E" w:rsidP="00496CB5">
      <w:pPr>
        <w:ind w:left="-142"/>
        <w:rPr>
          <w:b/>
          <w:bCs/>
          <w:color w:val="4F81BD" w:themeColor="accent1"/>
        </w:rPr>
      </w:pPr>
      <w:r w:rsidRPr="00DB331B">
        <w:t xml:space="preserve">Alla fine del Corso lo studente deve essere in grado di aver compreso, nelle loro caratteristiche generali, le cause determinanti ed i </w:t>
      </w:r>
      <w:bookmarkStart w:id="0" w:name="_Hlk113619171"/>
      <w:r w:rsidRPr="00DB331B">
        <w:t>meccanismi patogenetici delle principali malattie odontostomatologiche</w:t>
      </w:r>
      <w:bookmarkEnd w:id="0"/>
      <w:r w:rsidRPr="00DB331B">
        <w:t>, indicandone il corretto approccio semeiologico (anamnesi, esame obiettivo locale e generale, terminologia appropriata); deve, inoltre, saper interpretare il significato dei reperti funzionali ottenibili dalla medicina di laboratorio, dalla diagnostica per immagini e dalla cito-istopatologia relativamente alle principali malattie del distretto oro-maxillo-facciale. Lo studente deve, inoltre, sapersi orientare, in base ai dati clinico-strumentali, tra le possibili diagnosi differenziali delle malattie in oggetto e deve, al contempo, conoscere le indicazioni ed i limiti delle tecniche di prevenzione in odontostomatologia.</w:t>
      </w:r>
    </w:p>
    <w:p w:rsidR="00E2661A" w:rsidRPr="00DB331B" w:rsidRDefault="00E2661A" w:rsidP="00496CB5">
      <w:pPr>
        <w:ind w:left="-142"/>
        <w:rPr>
          <w:b/>
          <w:bCs/>
          <w:color w:val="4F81BD" w:themeColor="accent1"/>
        </w:rPr>
      </w:pPr>
    </w:p>
    <w:p w:rsidR="00510229" w:rsidRPr="00DB331B" w:rsidRDefault="004845E4" w:rsidP="009A39EA">
      <w:pPr>
        <w:ind w:left="-142"/>
        <w:rPr>
          <w:rFonts w:cs="Trebuchet MS"/>
          <w:b/>
          <w:bCs/>
          <w:color w:val="006EC0"/>
        </w:rPr>
      </w:pPr>
      <w:r w:rsidRPr="00DB331B">
        <w:rPr>
          <w:rFonts w:cs="Trebuchet MS"/>
          <w:b/>
          <w:bCs/>
          <w:color w:val="006EC0"/>
        </w:rPr>
        <w:t>RISULTATI DI APPRENDIMENTO ATTESI (DESCRITTORI DI DUBLINO)</w:t>
      </w:r>
    </w:p>
    <w:p w:rsidR="00496CB5" w:rsidRPr="00DB331B" w:rsidRDefault="00496CB5" w:rsidP="00267D71">
      <w:pPr>
        <w:ind w:left="-142"/>
      </w:pPr>
      <w:r w:rsidRPr="00DB331B">
        <w:rPr>
          <w:b/>
          <w:bCs/>
        </w:rPr>
        <w:t>Conoscenza e capacità di comprensione</w:t>
      </w:r>
    </w:p>
    <w:p w:rsidR="00496CB5" w:rsidRPr="00DB331B" w:rsidRDefault="005C5E1B" w:rsidP="00EA3DC9">
      <w:pPr>
        <w:pStyle w:val="TableParagraph"/>
        <w:kinsoku w:val="0"/>
        <w:overflowPunct w:val="0"/>
        <w:ind w:left="-142"/>
        <w:jc w:val="both"/>
        <w:rPr>
          <w:sz w:val="18"/>
          <w:szCs w:val="18"/>
        </w:rPr>
      </w:pPr>
      <w:r w:rsidRPr="00DB331B">
        <w:rPr>
          <w:rFonts w:asciiTheme="minorHAnsi" w:hAnsiTheme="minorHAnsi"/>
          <w:bCs/>
          <w:sz w:val="18"/>
          <w:szCs w:val="18"/>
        </w:rPr>
        <w:t>L</w:t>
      </w:r>
      <w:r w:rsidR="00496CB5" w:rsidRPr="00DB331B">
        <w:rPr>
          <w:rFonts w:asciiTheme="minorHAnsi" w:hAnsiTheme="minorHAnsi"/>
          <w:bCs/>
          <w:sz w:val="18"/>
          <w:szCs w:val="18"/>
        </w:rPr>
        <w:t>o studente deve dimostrare di conoscere e saper comprendere le problematiche relative a</w:t>
      </w:r>
      <w:r w:rsidR="00EA3DC9" w:rsidRPr="00DB331B">
        <w:rPr>
          <w:rFonts w:asciiTheme="minorHAnsi" w:hAnsiTheme="minorHAnsi"/>
          <w:bCs/>
          <w:sz w:val="18"/>
          <w:szCs w:val="18"/>
        </w:rPr>
        <w:t>imeccanismi patogenetici delle principali malattie odontostomatologiche</w:t>
      </w:r>
      <w:r w:rsidR="00496CB5" w:rsidRPr="00DB331B">
        <w:rPr>
          <w:rFonts w:asciiTheme="minorHAnsi" w:hAnsiTheme="minorHAnsi"/>
          <w:bCs/>
          <w:sz w:val="18"/>
          <w:szCs w:val="18"/>
        </w:rPr>
        <w:t>Deve dimostrare di sapere elaborare argomentazioni concernenti le relazioni</w:t>
      </w:r>
      <w:r w:rsidR="00EA3DC9" w:rsidRPr="00DB331B">
        <w:rPr>
          <w:rFonts w:asciiTheme="minorHAnsi" w:hAnsiTheme="minorHAnsi"/>
          <w:bCs/>
          <w:sz w:val="18"/>
          <w:szCs w:val="18"/>
        </w:rPr>
        <w:t xml:space="preserve"> tra l’esame obiettivo e l’implicazione medica,</w:t>
      </w:r>
      <w:r w:rsidR="00496CB5" w:rsidRPr="00DB331B">
        <w:rPr>
          <w:rFonts w:asciiTheme="minorHAnsi" w:hAnsiTheme="minorHAnsi"/>
          <w:bCs/>
          <w:sz w:val="18"/>
          <w:szCs w:val="18"/>
        </w:rPr>
        <w:t xml:space="preserve"> i nessi tr</w:t>
      </w:r>
      <w:r w:rsidR="00EA3DC9" w:rsidRPr="00DB331B">
        <w:rPr>
          <w:rFonts w:asciiTheme="minorHAnsi" w:hAnsiTheme="minorHAnsi"/>
          <w:bCs/>
          <w:sz w:val="18"/>
          <w:szCs w:val="18"/>
        </w:rPr>
        <w:t>a le comorbidità del paziente ed i segni/sintomi evidenziati all’esame obiettivo</w:t>
      </w:r>
      <w:r w:rsidR="00496CB5" w:rsidRPr="00DB331B">
        <w:rPr>
          <w:rFonts w:asciiTheme="minorHAnsi" w:hAnsiTheme="minorHAnsi"/>
          <w:bCs/>
          <w:sz w:val="18"/>
          <w:szCs w:val="18"/>
        </w:rPr>
        <w:t xml:space="preserve"> a partire dalle nozioni apprese riguardant</w:t>
      </w:r>
      <w:r w:rsidR="00EA3DC9" w:rsidRPr="00DB331B">
        <w:rPr>
          <w:rFonts w:asciiTheme="minorHAnsi" w:hAnsiTheme="minorHAnsi"/>
          <w:bCs/>
          <w:sz w:val="18"/>
          <w:szCs w:val="18"/>
        </w:rPr>
        <w:t xml:space="preserve">i le manifestazioni orali di malattie sistemiche. </w:t>
      </w:r>
      <w:r w:rsidR="00496CB5" w:rsidRPr="00DB331B">
        <w:rPr>
          <w:rFonts w:asciiTheme="minorHAnsi" w:hAnsiTheme="minorHAnsi"/>
          <w:bCs/>
          <w:sz w:val="18"/>
          <w:szCs w:val="18"/>
        </w:rPr>
        <w:t>Il percorso formativo intende fornire agli studenti le conoscenze e gli strumenti metodologici di base necessari per analizzare</w:t>
      </w:r>
      <w:r w:rsidR="00EA3DC9" w:rsidRPr="00DB331B">
        <w:rPr>
          <w:rFonts w:asciiTheme="minorHAnsi" w:hAnsiTheme="minorHAnsi"/>
          <w:bCs/>
          <w:sz w:val="18"/>
          <w:szCs w:val="18"/>
        </w:rPr>
        <w:t xml:space="preserve"> la morfologia della mucosa del cavo orale. T</w:t>
      </w:r>
      <w:r w:rsidR="00496CB5" w:rsidRPr="00DB331B">
        <w:rPr>
          <w:rFonts w:asciiTheme="minorHAnsi" w:hAnsiTheme="minorHAnsi"/>
          <w:bCs/>
          <w:sz w:val="18"/>
          <w:szCs w:val="18"/>
        </w:rPr>
        <w:t>ali strumenti consentiranno agli studenti di comprendere le connessioni causali tra</w:t>
      </w:r>
      <w:r w:rsidR="00EA3DC9" w:rsidRPr="00DB331B">
        <w:rPr>
          <w:rFonts w:asciiTheme="minorHAnsi" w:hAnsiTheme="minorHAnsi"/>
          <w:bCs/>
          <w:sz w:val="18"/>
          <w:szCs w:val="18"/>
        </w:rPr>
        <w:t xml:space="preserve"> le manifestazioni cliniche, le indagini strumentali esibite, la valutazione ematologica del paziente e l’eventuale approccio diagnostico. </w:t>
      </w:r>
    </w:p>
    <w:p w:rsidR="00496CB5" w:rsidRPr="00DB331B" w:rsidRDefault="00496CB5" w:rsidP="009F09CF">
      <w:pPr>
        <w:ind w:left="-142"/>
      </w:pPr>
    </w:p>
    <w:p w:rsidR="009A39EA" w:rsidRPr="00DB331B" w:rsidRDefault="00837A65" w:rsidP="009A39EA">
      <w:pPr>
        <w:ind w:left="-142"/>
        <w:rPr>
          <w:b/>
          <w:bCs/>
        </w:rPr>
      </w:pPr>
      <w:r w:rsidRPr="00DB331B">
        <w:rPr>
          <w:b/>
          <w:bCs/>
        </w:rPr>
        <w:t xml:space="preserve">Capacità di applicare conoscenza e comprensione  </w:t>
      </w:r>
    </w:p>
    <w:p w:rsidR="00496CB5" w:rsidRPr="00DB331B" w:rsidRDefault="00496CB5" w:rsidP="00A75189">
      <w:pPr>
        <w:ind w:left="-142"/>
      </w:pPr>
      <w:r w:rsidRPr="00DB331B">
        <w:rPr>
          <w:bCs/>
          <w:sz w:val="18"/>
          <w:szCs w:val="18"/>
        </w:rPr>
        <w:t xml:space="preserve">Lo studente deve dimostrare di essere in grado di trarre le conseguenze di un insieme di informazioni </w:t>
      </w:r>
      <w:r w:rsidR="009A39EA" w:rsidRPr="00DB331B">
        <w:rPr>
          <w:bCs/>
          <w:sz w:val="18"/>
          <w:szCs w:val="18"/>
        </w:rPr>
        <w:t>assimilabile durante la valutazione anamnestica del paziente e l’esame obiettivo locale</w:t>
      </w:r>
      <w:r w:rsidRPr="00DB331B">
        <w:rPr>
          <w:bCs/>
          <w:sz w:val="18"/>
          <w:szCs w:val="18"/>
        </w:rPr>
        <w:t xml:space="preserve">., </w:t>
      </w:r>
      <w:r w:rsidR="009A39EA" w:rsidRPr="00DB331B">
        <w:rPr>
          <w:bCs/>
          <w:sz w:val="18"/>
          <w:szCs w:val="18"/>
        </w:rPr>
        <w:t xml:space="preserve">riconoscerele principali patologie oncologiche ed infettive del cavo orale nonché le manifestazioni immunologiche </w:t>
      </w:r>
      <w:r w:rsidRPr="00DB331B">
        <w:rPr>
          <w:bCs/>
          <w:sz w:val="18"/>
          <w:szCs w:val="18"/>
        </w:rPr>
        <w:t>e/o realizzare</w:t>
      </w:r>
      <w:r w:rsidR="009A39EA" w:rsidRPr="00DB331B">
        <w:rPr>
          <w:bCs/>
          <w:sz w:val="18"/>
          <w:szCs w:val="18"/>
        </w:rPr>
        <w:t xml:space="preserve"> un adeguato </w:t>
      </w:r>
      <w:r w:rsidR="00A75189" w:rsidRPr="00DB331B">
        <w:rPr>
          <w:bCs/>
          <w:sz w:val="18"/>
          <w:szCs w:val="18"/>
        </w:rPr>
        <w:t xml:space="preserve">ragionamento clinico e diagnostico ed </w:t>
      </w:r>
      <w:r w:rsidRPr="00DB331B">
        <w:rPr>
          <w:bCs/>
          <w:sz w:val="18"/>
          <w:szCs w:val="18"/>
        </w:rPr>
        <w:t>applicare gli strumenti metodologici appresi</w:t>
      </w:r>
      <w:r w:rsidR="00A75189" w:rsidRPr="00DB331B">
        <w:rPr>
          <w:bCs/>
          <w:sz w:val="18"/>
          <w:szCs w:val="18"/>
        </w:rPr>
        <w:t xml:space="preserve">. </w:t>
      </w:r>
      <w:r w:rsidRPr="00DB331B">
        <w:rPr>
          <w:bCs/>
          <w:sz w:val="18"/>
          <w:szCs w:val="18"/>
        </w:rPr>
        <w:t xml:space="preserve">Il percorso formativo è orientato a trasmettere le capacità e gli strumenti metodologici e operativi necessari ad applicare concretamente le conoscenze </w:t>
      </w:r>
      <w:r w:rsidR="00A75189" w:rsidRPr="00DB331B">
        <w:rPr>
          <w:bCs/>
          <w:sz w:val="18"/>
          <w:szCs w:val="18"/>
        </w:rPr>
        <w:t>mediche e laboratoristiche per integrarle alla valutazione del quadro clinico.</w:t>
      </w:r>
    </w:p>
    <w:p w:rsidR="00496CB5" w:rsidRPr="00DB331B" w:rsidRDefault="00496CB5" w:rsidP="009F09CF">
      <w:pPr>
        <w:ind w:left="-142"/>
      </w:pPr>
    </w:p>
    <w:p w:rsidR="00496CB5" w:rsidRPr="00DB331B" w:rsidRDefault="00496CB5" w:rsidP="009F09CF">
      <w:pPr>
        <w:ind w:left="-142"/>
      </w:pPr>
    </w:p>
    <w:p w:rsidR="004845E4" w:rsidRPr="00DB331B" w:rsidRDefault="004845E4" w:rsidP="004845E4">
      <w:pPr>
        <w:ind w:left="-142"/>
        <w:rPr>
          <w:b/>
          <w:bCs/>
          <w:color w:val="4F81BD" w:themeColor="accent1"/>
        </w:rPr>
      </w:pPr>
      <w:r w:rsidRPr="00DB331B">
        <w:rPr>
          <w:rFonts w:cs="Trebuchet MS"/>
          <w:b/>
          <w:bCs/>
          <w:color w:val="006EC0"/>
        </w:rPr>
        <w:t>PROGRAMMA-SYLLABUS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Generalità sulla fisiopatologia dell'embriogenesi dentaria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cenni di embriologia dell'estremo cefalico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l'eruzione dentaria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formula dentaria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anomalie dentarie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La patologia dell'eruzione dentaria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l'eruzione precoce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inclusioni dentarie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disodontiasi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l'ematoma eruttivo e la cisti da eruzione La carie dentaria Le pulpopatie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parodontiti apicali acute e croniche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Gli ascessi ed i flemmoni perimascellari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osteomieliti dei mascellari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La patologia sinusale di origine dentaria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l'empiema sinusale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sinusiti acute e croniche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neoformazioni di origine dentaria endosinusali La patologia sinusale di origine non dentaria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pseudocisti e le cisti da ritenzione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il mucocele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generalità sulle sinusiti di origine non dentaria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cenni sui tumori della mesostruttura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I tumori benigni di origine dentaria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 xml:space="preserve">- i tumori epiteliali: ameloblastoma, tumore squamoso odontogenico, tumore odontogeno epiteliale calcificante, tumore 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a cellule chiare.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 tumori misti epitelio-mesenchimali con o senza tessuto calcificato: fibroma odontogeno, fibrodentinoma,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fibroodontoma, odontoameloblastoma, cisti odontogena calcificante, tumore adenomatoide odontogeno,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odontomi semplici e complessi.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 tumori mesenchimali: fibroma odontogeno, mixoma e cementoblastoma benigno.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 xml:space="preserve">- cenni di diagnosi differenziale con le principali lesioni fibro-osseo-cementizie 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I tumori maligni di origine dentaria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l'ameloblastoma ed il carcinoma ameloblastico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il fibrosarcoma ameloblastico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neoformazioni cistiche delle ossa mascellari e dei tessuti molli perimascellari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cheratocisti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cisti infiammatorie di origine dentaria: radicolare, residua, collaterale infiammatoria, buccale mandibolare infetta.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 xml:space="preserve">- le cisti di sviluppo di origine dentaria: germinale, follicolare, gengivale dell'infanzia e dell'adulto, "lateralperiodontal", 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sialo-odontogenica.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cisti di origine non dentaria: nasopalatina, nasolabiale, dermoide ed epidermoide.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cisti da ritenzione o da stravaso: mucocele, ranula.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precancerosi del cavo orale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 xml:space="preserve">- la leucoplachia e la PVL, la cheilite attinica cronica ed apostematosa, l'eritroplachia, la candidosi cronica iperplastica, 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l'iperplasia verruciforme e la papillomatosi orale florida. il ruolo dei decubiti: ulcere e cheratosi frizionale.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condizioni precancerose: lichen planus, sideropenie, LED, sifilide.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-altre lesioni mucose da fumo: l'iperplasia papillare reattiva, il leucoedema e la leucocheratosi del palato.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I tumori maligni epiteliali primitivi del cavo orale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cenni di epidemiologia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 principali fattori di rischio e cenni di cancerogenesi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il carcinoma spinocellulare: carcinoma in situ, "earlycancer" e TNM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il carcinoma verrucoso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gli adenocarcinomi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I tumori maligni mesenchimali primitivi del cavo orale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osteosarcoma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condrosarcoma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fibrosarcoma e fibromatosi Leucemie e linfomi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I tumori maligni secondari del distretto oro-facciale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alle ossa mascellari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ai tessuti molli orofacciali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ai linfonodi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 xml:space="preserve">- alle ghiandole salivari maggiori 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mucositi autoimmuni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il lichen planus e le reazioni lichenoidi: da contatto, da farmaci, in corso di connettiviti.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 pemfigoidi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il pemfigo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l'eritema multiforme e le sindromi correlate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mucositi immunologicamente determinate in corso di malattie sistemiche: dermatite erpetiforme, GVHD, mucositi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bollose paraneoplastiche.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manifestazioni orali nelle IBD: piostomatite vegetante, m. di Chron, mucositi bollose.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-aftosi orale, celiachia e malattia di Behcet. Le mucositi in corso di chemioterapia antiblastica e radioterapia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mucositi infettive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candidosi acute e croniche.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l'herpes simplex e zoster.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il papilloma virus: conditomi, verruche e papilloma squamoso.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mucositi in corso di malattie infettive sistemiche. Le lesioni fibro-osse e le displasie cemento-ossee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displasia fibrosa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displasia cemento-ossea di tipo periapicale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displasia cemento-ossea di tipo focale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 xml:space="preserve">- la displasia cemento-ossea di tipo florido 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fratture dello scheletro maxillo-facciale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fratture della mandibola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fratture del mascellare superiore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patologie non neoplastiche delle ghiandole salivari maggiori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cenni di fisiopatologia della funzione salivare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scialoadeniti e le scialodochiti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scialolitiasi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patologie funzionali delle ghiandole salivari: iposcialia e scialorrea.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s. di Sjogren primaria e secondaria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adeniti linfocitarie croniche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scialoadenosi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patologie neoplastiche delle ghiandole salivari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semeiologia dei tumori benigni delle ghiandole salivari maggiori e minori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semeiologia dei tumori maligni delle ghiandole salivari maggiori e minori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Le sindromi dolorose cranio-facciali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nevralgie essenziali del trigeminole nevralgie secondarie del trigemino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le nevralgie del glossofaringeo primitive e secondarie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dolore facciale atipico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la BurningMouthSyndrome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Banche dati biomediche e selezione delle fonti scientifiche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medline</w:t>
      </w:r>
    </w:p>
    <w:p w:rsidR="000C4542" w:rsidRPr="00DB331B" w:rsidRDefault="000C4542" w:rsidP="000C4542">
      <w:pPr>
        <w:rPr>
          <w:rFonts w:eastAsia="Times New Roman" w:cs="Arial"/>
          <w:sz w:val="20"/>
          <w:szCs w:val="20"/>
          <w:lang w:eastAsia="it-IT"/>
        </w:rPr>
      </w:pPr>
      <w:r w:rsidRPr="00DB331B">
        <w:rPr>
          <w:rFonts w:eastAsia="Times New Roman" w:cs="Arial"/>
          <w:sz w:val="20"/>
          <w:szCs w:val="20"/>
          <w:lang w:eastAsia="it-IT"/>
        </w:rPr>
        <w:t>- impact factor e concetto di peer-review</w:t>
      </w:r>
    </w:p>
    <w:p w:rsidR="00CB6BCD" w:rsidRPr="00DB331B" w:rsidRDefault="000C4542" w:rsidP="000C4542">
      <w:r w:rsidRPr="00DB331B">
        <w:rPr>
          <w:rFonts w:eastAsia="Times New Roman" w:cs="Arial"/>
          <w:sz w:val="20"/>
          <w:szCs w:val="20"/>
          <w:lang w:eastAsia="it-IT"/>
        </w:rPr>
        <w:t>- l'aggiornamento professionale in Odontostomatologia</w:t>
      </w:r>
    </w:p>
    <w:p w:rsidR="00E2661A" w:rsidRPr="00DB331B" w:rsidRDefault="00E2661A" w:rsidP="00CB6BCD"/>
    <w:p w:rsidR="004845E4" w:rsidRPr="00DB331B" w:rsidRDefault="004845E4" w:rsidP="004845E4">
      <w:pPr>
        <w:ind w:left="-142"/>
        <w:rPr>
          <w:b/>
          <w:bCs/>
          <w:color w:val="4F81BD" w:themeColor="accent1"/>
        </w:rPr>
      </w:pPr>
      <w:r w:rsidRPr="00DB331B">
        <w:rPr>
          <w:rFonts w:cs="Trebuchet MS"/>
          <w:b/>
          <w:bCs/>
          <w:color w:val="006EC0"/>
        </w:rPr>
        <w:t>MATERIALE DIDATTICO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LIBRI DI TESTO ADOTTATI E CONSIGLIATI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G. Valletta, Clinica Odontostomatologica, Ed. EMS, Salerno 1994.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G. Valletta, S. Matarasso, Semeiotica Odontostomatologica, Ed. Piccin,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Padova 1985.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G. Valletta, E. Bucci, S. Matarasso, Odontostomatologia, Ed. Piccin, Nuova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Libraria SpA, Padova 1997.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val="en-GB" w:eastAsia="it-IT"/>
        </w:rPr>
      </w:pPr>
      <w:r>
        <w:rPr>
          <w:rFonts w:eastAsia="Times New Roman" w:cs="Arial"/>
          <w:sz w:val="20"/>
          <w:szCs w:val="20"/>
          <w:lang w:val="en-GB" w:eastAsia="it-IT"/>
        </w:rPr>
        <w:t>Oral and Maxillofacial Pathology – fourth edition Neville - Damm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val="en-GB" w:eastAsia="it-IT"/>
        </w:rPr>
      </w:pPr>
      <w:r>
        <w:rPr>
          <w:rFonts w:eastAsia="Times New Roman" w:cs="Arial"/>
          <w:sz w:val="20"/>
          <w:szCs w:val="20"/>
          <w:lang w:val="en-GB" w:eastAsia="it-IT"/>
        </w:rPr>
        <w:t>RH Kramer, JJ Pindborg, M Shear, Histological typing of Odontogenic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val="en-GB" w:eastAsia="it-IT"/>
        </w:rPr>
      </w:pPr>
      <w:r>
        <w:rPr>
          <w:rFonts w:eastAsia="Times New Roman" w:cs="Arial"/>
          <w:sz w:val="20"/>
          <w:szCs w:val="20"/>
          <w:lang w:val="en-GB" w:eastAsia="it-IT"/>
        </w:rPr>
        <w:t>Tumors. WHO, Springer-Verlag, Berlin 1992.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val="en-GB" w:eastAsia="it-IT"/>
        </w:rPr>
      </w:pPr>
      <w:r>
        <w:rPr>
          <w:rFonts w:eastAsia="Times New Roman" w:cs="Arial"/>
          <w:sz w:val="20"/>
          <w:szCs w:val="20"/>
          <w:lang w:val="en-GB" w:eastAsia="it-IT"/>
        </w:rPr>
        <w:t>JJ Pindborg, PA Reichart, CJ Smith, I van der Waal, Histological typing of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val="en-GB" w:eastAsia="it-IT"/>
        </w:rPr>
        <w:t xml:space="preserve">Cancer and Precancer of the oral mucosa, Springer, Berlin 1997. </w:t>
      </w:r>
      <w:r>
        <w:rPr>
          <w:rFonts w:eastAsia="Times New Roman" w:cs="Arial"/>
          <w:sz w:val="20"/>
          <w:szCs w:val="20"/>
          <w:lang w:eastAsia="it-IT"/>
        </w:rPr>
        <w:t>G.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Ficarra, Manuale di Medicina Orale, McGraw-Hill, Firenze 1999.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val="en-GB" w:eastAsia="it-IT"/>
        </w:rPr>
      </w:pPr>
      <w:r>
        <w:rPr>
          <w:rFonts w:eastAsia="Times New Roman" w:cs="Arial"/>
          <w:sz w:val="20"/>
          <w:szCs w:val="20"/>
          <w:lang w:val="en-GB" w:eastAsia="it-IT"/>
        </w:rPr>
        <w:t>BW Neville, DD Damm, CM Allen, JE Bouquot, Oral and Maxillofacial</w:t>
      </w:r>
    </w:p>
    <w:p w:rsidR="009D21A0" w:rsidRDefault="009D21A0" w:rsidP="009D21A0">
      <w:pPr>
        <w:ind w:left="-142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Pathology, Saunders Company, London 2002</w:t>
      </w:r>
    </w:p>
    <w:p w:rsidR="0040505D" w:rsidRPr="00DB331B" w:rsidRDefault="0040505D" w:rsidP="0040505D">
      <w:pPr>
        <w:ind w:left="-142"/>
        <w:rPr>
          <w:rFonts w:eastAsia="Times New Roman" w:cs="Arial"/>
          <w:sz w:val="20"/>
          <w:szCs w:val="20"/>
          <w:lang w:eastAsia="it-IT"/>
        </w:rPr>
      </w:pPr>
    </w:p>
    <w:p w:rsidR="0040505D" w:rsidRPr="00DB331B" w:rsidRDefault="0040505D" w:rsidP="0040505D">
      <w:pPr>
        <w:ind w:left="-142"/>
        <w:rPr>
          <w:b/>
          <w:bCs/>
          <w:color w:val="4F81BD" w:themeColor="accent1"/>
        </w:rPr>
      </w:pPr>
      <w:r w:rsidRPr="00DB331B">
        <w:rPr>
          <w:rFonts w:eastAsia="Times New Roman" w:cs="Arial"/>
          <w:sz w:val="20"/>
          <w:szCs w:val="20"/>
          <w:lang w:eastAsia="it-IT"/>
        </w:rPr>
        <w:t xml:space="preserve">Utile approfondimento tramite articoli scientifici suggeriti in aula e presenti su Pubmed e forniti in extenso. </w:t>
      </w:r>
    </w:p>
    <w:p w:rsidR="00E2661A" w:rsidRPr="00DB331B" w:rsidRDefault="00E2661A" w:rsidP="009F09CF">
      <w:pPr>
        <w:ind w:left="-142"/>
        <w:rPr>
          <w:b/>
          <w:bCs/>
          <w:color w:val="4F81BD" w:themeColor="accent1"/>
        </w:rPr>
      </w:pPr>
    </w:p>
    <w:p w:rsidR="004845E4" w:rsidRPr="00DB331B" w:rsidRDefault="004845E4" w:rsidP="004845E4">
      <w:pPr>
        <w:ind w:left="-142"/>
        <w:rPr>
          <w:b/>
          <w:bCs/>
          <w:color w:val="4F81BD" w:themeColor="accent1"/>
        </w:rPr>
      </w:pPr>
      <w:r w:rsidRPr="00DB331B">
        <w:rPr>
          <w:rFonts w:cs="Trebuchet MS"/>
          <w:b/>
          <w:bCs/>
          <w:color w:val="006EC0"/>
        </w:rPr>
        <w:t>MODALITÀ DI SVOLGIMENTO DELL'INSEGNAMENTO</w:t>
      </w:r>
      <w:r w:rsidR="00E2661A" w:rsidRPr="00DB331B">
        <w:rPr>
          <w:rFonts w:cs="Trebuchet MS"/>
          <w:b/>
          <w:bCs/>
          <w:color w:val="006EC0"/>
        </w:rPr>
        <w:t>-MODULO</w:t>
      </w:r>
    </w:p>
    <w:p w:rsidR="00CB6BCD" w:rsidRPr="00DB331B" w:rsidRDefault="0040505D" w:rsidP="0040505D">
      <w:pPr>
        <w:pStyle w:val="Corpodeltesto"/>
        <w:kinsoku w:val="0"/>
        <w:overflowPunct w:val="0"/>
        <w:ind w:left="-142"/>
        <w:jc w:val="both"/>
        <w:rPr>
          <w:rFonts w:asciiTheme="minorHAnsi" w:hAnsiTheme="minorHAnsi"/>
          <w:b w:val="0"/>
        </w:rPr>
      </w:pPr>
      <w:r w:rsidRPr="00DB331B">
        <w:rPr>
          <w:rFonts w:asciiTheme="minorHAnsi" w:hAnsiTheme="minorHAnsi"/>
          <w:b w:val="0"/>
        </w:rPr>
        <w:t>I</w:t>
      </w:r>
      <w:r w:rsidR="00496CB5" w:rsidRPr="00DB331B">
        <w:rPr>
          <w:rFonts w:asciiTheme="minorHAnsi" w:hAnsiTheme="minorHAnsi"/>
          <w:b w:val="0"/>
        </w:rPr>
        <w:t xml:space="preserve"> docenti utilizzeranno: a) lezioni frontali per circa il </w:t>
      </w:r>
      <w:r w:rsidRPr="00DB331B">
        <w:rPr>
          <w:rFonts w:asciiTheme="minorHAnsi" w:hAnsiTheme="minorHAnsi"/>
          <w:b w:val="0"/>
        </w:rPr>
        <w:t>70</w:t>
      </w:r>
      <w:r w:rsidR="00496CB5" w:rsidRPr="00DB331B">
        <w:rPr>
          <w:rFonts w:asciiTheme="minorHAnsi" w:hAnsiTheme="minorHAnsi"/>
          <w:b w:val="0"/>
        </w:rPr>
        <w:t xml:space="preserve">% delle ore totali, b) </w:t>
      </w:r>
      <w:r w:rsidRPr="00DB331B">
        <w:rPr>
          <w:rFonts w:asciiTheme="minorHAnsi" w:hAnsiTheme="minorHAnsi"/>
          <w:b w:val="0"/>
        </w:rPr>
        <w:t xml:space="preserve">seminari </w:t>
      </w:r>
      <w:r w:rsidR="00496CB5" w:rsidRPr="00DB331B">
        <w:rPr>
          <w:rFonts w:asciiTheme="minorHAnsi" w:hAnsiTheme="minorHAnsi"/>
          <w:b w:val="0"/>
        </w:rPr>
        <w:t xml:space="preserve"> per approfondire praticamente aspetti teorici per </w:t>
      </w:r>
      <w:r w:rsidRPr="00DB331B">
        <w:rPr>
          <w:rFonts w:asciiTheme="minorHAnsi" w:hAnsiTheme="minorHAnsi"/>
          <w:b w:val="0"/>
        </w:rPr>
        <w:t xml:space="preserve">30 % delle </w:t>
      </w:r>
      <w:r w:rsidR="00496CB5" w:rsidRPr="00DB331B">
        <w:rPr>
          <w:rFonts w:asciiTheme="minorHAnsi" w:hAnsiTheme="minorHAnsi"/>
          <w:b w:val="0"/>
        </w:rPr>
        <w:t>ore</w:t>
      </w:r>
      <w:r w:rsidRPr="00DB331B">
        <w:rPr>
          <w:rFonts w:asciiTheme="minorHAnsi" w:hAnsiTheme="minorHAnsi"/>
          <w:b w:val="0"/>
        </w:rPr>
        <w:t>.</w:t>
      </w:r>
    </w:p>
    <w:p w:rsidR="00E2661A" w:rsidRPr="00DB331B" w:rsidRDefault="00E2661A" w:rsidP="00CB6BCD">
      <w:pPr>
        <w:ind w:left="-142"/>
        <w:rPr>
          <w:b/>
          <w:bCs/>
          <w:color w:val="4F81BD" w:themeColor="accent1"/>
        </w:rPr>
      </w:pPr>
    </w:p>
    <w:p w:rsidR="00496CB5" w:rsidRPr="00DB331B" w:rsidRDefault="004845E4" w:rsidP="00EF6F4B">
      <w:pPr>
        <w:ind w:left="-142"/>
        <w:rPr>
          <w:b/>
          <w:bCs/>
          <w:color w:val="4F81BD" w:themeColor="accent1"/>
        </w:rPr>
      </w:pPr>
      <w:r w:rsidRPr="00DB331B">
        <w:rPr>
          <w:rFonts w:cs="Trebuchet MS"/>
          <w:b/>
          <w:bCs/>
          <w:color w:val="006EC0"/>
        </w:rPr>
        <w:t>VERIFICA DI APPRENDIMENTO</w:t>
      </w:r>
      <w:r w:rsidR="00C668B7" w:rsidRPr="00DB331B">
        <w:rPr>
          <w:rFonts w:cs="Trebuchet MS"/>
          <w:b/>
          <w:bCs/>
          <w:color w:val="006EC0"/>
        </w:rPr>
        <w:t xml:space="preserve"> E CRITERI DI VALUTAZIONE</w:t>
      </w:r>
    </w:p>
    <w:p w:rsidR="00EF6F4B" w:rsidRPr="00DB331B" w:rsidRDefault="00EF6F4B" w:rsidP="00EF6F4B">
      <w:pPr>
        <w:ind w:left="-142"/>
        <w:rPr>
          <w:b/>
          <w:bCs/>
          <w:color w:val="4F81BD" w:themeColor="accent1"/>
        </w:rPr>
      </w:pPr>
    </w:p>
    <w:p w:rsidR="00E2661A" w:rsidRPr="00DB331B" w:rsidRDefault="00496CB5" w:rsidP="00E2661A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18"/>
          <w:szCs w:val="18"/>
        </w:rPr>
      </w:pPr>
      <w:r w:rsidRPr="00DB331B">
        <w:rPr>
          <w:b/>
          <w:bCs/>
          <w:sz w:val="20"/>
          <w:szCs w:val="20"/>
        </w:rPr>
        <w:t>Modalità diesame</w:t>
      </w:r>
      <w:r w:rsidRPr="00DB331B">
        <w:rPr>
          <w:b/>
          <w:bCs/>
          <w:sz w:val="18"/>
          <w:szCs w:val="18"/>
        </w:rPr>
        <w:t>:</w:t>
      </w:r>
    </w:p>
    <w:p w:rsidR="00B06C6F" w:rsidRPr="00DB331B" w:rsidRDefault="00B06C6F" w:rsidP="00DA2DB6">
      <w:pPr>
        <w:pStyle w:val="Corpodel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0"/>
          <w:szCs w:val="20"/>
        </w:rPr>
      </w:pPr>
    </w:p>
    <w:tbl>
      <w:tblPr>
        <w:tblStyle w:val="Grigliatabella"/>
        <w:tblW w:w="0" w:type="auto"/>
        <w:tblInd w:w="2660" w:type="dxa"/>
        <w:tblLook w:val="04A0"/>
      </w:tblPr>
      <w:tblGrid>
        <w:gridCol w:w="3732"/>
        <w:gridCol w:w="488"/>
      </w:tblGrid>
      <w:tr w:rsidR="00B06C6F" w:rsidRPr="00DB331B" w:rsidTr="00DA2DB6">
        <w:tc>
          <w:tcPr>
            <w:tcW w:w="4220" w:type="dxa"/>
            <w:gridSpan w:val="2"/>
          </w:tcPr>
          <w:p w:rsidR="00DA2DB6" w:rsidRPr="00DB331B" w:rsidRDefault="00DA2DB6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</w:p>
          <w:p w:rsidR="00B06C6F" w:rsidRPr="00DB331B" w:rsidRDefault="00B06C6F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  <w:r w:rsidRPr="00DB331B">
              <w:rPr>
                <w:bCs w:val="0"/>
              </w:rPr>
              <w:t>L'esame si articola in prova</w:t>
            </w:r>
          </w:p>
          <w:p w:rsidR="00DA2DB6" w:rsidRPr="00DB331B" w:rsidRDefault="00DA2DB6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</w:tc>
      </w:tr>
      <w:tr w:rsidR="002C0404" w:rsidRPr="00DB331B" w:rsidTr="00DA2DB6">
        <w:tc>
          <w:tcPr>
            <w:tcW w:w="3732" w:type="dxa"/>
          </w:tcPr>
          <w:p w:rsidR="002C0404" w:rsidRPr="00DB331B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DB331B">
              <w:rPr>
                <w:bCs w:val="0"/>
              </w:rPr>
              <w:t>scritta e orale</w:t>
            </w:r>
          </w:p>
        </w:tc>
        <w:tc>
          <w:tcPr>
            <w:tcW w:w="488" w:type="dxa"/>
          </w:tcPr>
          <w:p w:rsidR="002C0404" w:rsidRPr="00DB331B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DB331B" w:rsidTr="00DA2DB6">
        <w:tc>
          <w:tcPr>
            <w:tcW w:w="3732" w:type="dxa"/>
          </w:tcPr>
          <w:p w:rsidR="002C0404" w:rsidRPr="00DB331B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DB331B">
              <w:rPr>
                <w:bCs w:val="0"/>
              </w:rPr>
              <w:t>solo scritta</w:t>
            </w:r>
          </w:p>
        </w:tc>
        <w:tc>
          <w:tcPr>
            <w:tcW w:w="488" w:type="dxa"/>
          </w:tcPr>
          <w:p w:rsidR="002C0404" w:rsidRPr="00DB331B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DB331B" w:rsidTr="00DA2DB6">
        <w:tc>
          <w:tcPr>
            <w:tcW w:w="3732" w:type="dxa"/>
          </w:tcPr>
          <w:p w:rsidR="002C0404" w:rsidRPr="00DB331B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DB331B">
              <w:rPr>
                <w:bCs w:val="0"/>
              </w:rPr>
              <w:t>solo orale</w:t>
            </w:r>
          </w:p>
        </w:tc>
        <w:tc>
          <w:tcPr>
            <w:tcW w:w="488" w:type="dxa"/>
          </w:tcPr>
          <w:p w:rsidR="002C0404" w:rsidRPr="00DB331B" w:rsidRDefault="00F01B61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B33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X</w:t>
            </w:r>
          </w:p>
        </w:tc>
      </w:tr>
      <w:tr w:rsidR="002C0404" w:rsidRPr="00DB331B" w:rsidTr="00DA2DB6">
        <w:tc>
          <w:tcPr>
            <w:tcW w:w="3732" w:type="dxa"/>
          </w:tcPr>
          <w:p w:rsidR="002C0404" w:rsidRPr="00DB331B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DB331B">
              <w:rPr>
                <w:bCs w:val="0"/>
              </w:rPr>
              <w:t>discussione di elaborato progettuale</w:t>
            </w:r>
          </w:p>
        </w:tc>
        <w:tc>
          <w:tcPr>
            <w:tcW w:w="488" w:type="dxa"/>
          </w:tcPr>
          <w:p w:rsidR="002C0404" w:rsidRPr="00DB331B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DB331B" w:rsidTr="00DA2DB6">
        <w:tc>
          <w:tcPr>
            <w:tcW w:w="3732" w:type="dxa"/>
          </w:tcPr>
          <w:p w:rsidR="002C0404" w:rsidRPr="00DB331B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DB331B">
              <w:rPr>
                <w:bCs w:val="0"/>
              </w:rPr>
              <w:t>altro</w:t>
            </w:r>
          </w:p>
        </w:tc>
        <w:tc>
          <w:tcPr>
            <w:tcW w:w="488" w:type="dxa"/>
          </w:tcPr>
          <w:p w:rsidR="002C0404" w:rsidRPr="00DB331B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B06C6F" w:rsidRPr="00DB331B" w:rsidRDefault="00B06C6F" w:rsidP="00E05623">
      <w:pPr>
        <w:pStyle w:val="Corpodel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0"/>
          <w:szCs w:val="20"/>
        </w:rPr>
      </w:pPr>
    </w:p>
    <w:p w:rsidR="00E05623" w:rsidRPr="00DB331B" w:rsidRDefault="00496CB5" w:rsidP="00E05623">
      <w:pPr>
        <w:pStyle w:val="Corpodel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0"/>
          <w:szCs w:val="20"/>
        </w:rPr>
      </w:pPr>
      <w:r w:rsidRPr="00DB331B">
        <w:rPr>
          <w:rFonts w:asciiTheme="minorHAnsi" w:hAnsiTheme="minorHAnsi"/>
          <w:b w:val="0"/>
          <w:bCs w:val="0"/>
          <w:sz w:val="20"/>
          <w:szCs w:val="20"/>
        </w:rPr>
        <w:tab/>
      </w:r>
    </w:p>
    <w:tbl>
      <w:tblPr>
        <w:tblStyle w:val="Grigliatabella"/>
        <w:tblW w:w="0" w:type="auto"/>
        <w:tblInd w:w="1951" w:type="dxa"/>
        <w:tblLook w:val="04A0"/>
      </w:tblPr>
      <w:tblGrid>
        <w:gridCol w:w="3936"/>
        <w:gridCol w:w="1842"/>
        <w:gridCol w:w="426"/>
      </w:tblGrid>
      <w:tr w:rsidR="00E05623" w:rsidRPr="00DB331B" w:rsidTr="00DA2DB6">
        <w:tc>
          <w:tcPr>
            <w:tcW w:w="3936" w:type="dxa"/>
            <w:vMerge w:val="restart"/>
          </w:tcPr>
          <w:p w:rsidR="00E05623" w:rsidRPr="00DB331B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  <w:sz w:val="18"/>
                <w:szCs w:val="18"/>
              </w:rPr>
            </w:pPr>
            <w:r w:rsidRPr="00DB331B">
              <w:rPr>
                <w:b/>
                <w:bCs/>
                <w:sz w:val="18"/>
                <w:szCs w:val="18"/>
              </w:rPr>
              <w:t>In caso di prova scritta i quesiti sono (*)</w:t>
            </w:r>
          </w:p>
        </w:tc>
        <w:tc>
          <w:tcPr>
            <w:tcW w:w="1842" w:type="dxa"/>
          </w:tcPr>
          <w:p w:rsidR="00E05623" w:rsidRPr="00DB331B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B33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multipla</w:t>
            </w:r>
          </w:p>
        </w:tc>
        <w:tc>
          <w:tcPr>
            <w:tcW w:w="426" w:type="dxa"/>
          </w:tcPr>
          <w:p w:rsidR="00E05623" w:rsidRPr="00DB331B" w:rsidRDefault="00E05623" w:rsidP="00140009">
            <w:pPr>
              <w:ind w:right="2964"/>
            </w:pPr>
          </w:p>
        </w:tc>
      </w:tr>
      <w:tr w:rsidR="00E05623" w:rsidRPr="00DB331B" w:rsidTr="00DA2DB6">
        <w:tc>
          <w:tcPr>
            <w:tcW w:w="3936" w:type="dxa"/>
            <w:vMerge/>
          </w:tcPr>
          <w:p w:rsidR="00E05623" w:rsidRPr="00DB331B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</w:tcPr>
          <w:p w:rsidR="00E05623" w:rsidRPr="00DB331B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B33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libera</w:t>
            </w:r>
          </w:p>
        </w:tc>
        <w:tc>
          <w:tcPr>
            <w:tcW w:w="426" w:type="dxa"/>
          </w:tcPr>
          <w:p w:rsidR="00E05623" w:rsidRPr="00DB331B" w:rsidRDefault="00E05623" w:rsidP="00140009"/>
        </w:tc>
      </w:tr>
      <w:tr w:rsidR="00E05623" w:rsidRPr="00DB331B" w:rsidTr="00DA2DB6">
        <w:tc>
          <w:tcPr>
            <w:tcW w:w="3936" w:type="dxa"/>
            <w:vMerge/>
          </w:tcPr>
          <w:p w:rsidR="00E05623" w:rsidRPr="00DB331B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</w:tcPr>
          <w:p w:rsidR="00E05623" w:rsidRPr="00DB331B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B33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Esercizi numerici</w:t>
            </w:r>
          </w:p>
        </w:tc>
        <w:tc>
          <w:tcPr>
            <w:tcW w:w="426" w:type="dxa"/>
          </w:tcPr>
          <w:p w:rsidR="00E05623" w:rsidRPr="00DB331B" w:rsidRDefault="00E05623" w:rsidP="00140009"/>
        </w:tc>
      </w:tr>
    </w:tbl>
    <w:p w:rsidR="00496CB5" w:rsidRPr="00DB331B" w:rsidRDefault="00496CB5" w:rsidP="00DA2DB6">
      <w:pPr>
        <w:pStyle w:val="Corpodeltesto"/>
        <w:tabs>
          <w:tab w:val="left" w:pos="6462"/>
          <w:tab w:val="left" w:pos="8717"/>
        </w:tabs>
        <w:kinsoku w:val="0"/>
        <w:overflowPunct w:val="0"/>
        <w:ind w:left="1843"/>
        <w:rPr>
          <w:rFonts w:asciiTheme="minorHAnsi" w:hAnsiTheme="minorHAnsi"/>
          <w:b w:val="0"/>
          <w:bCs w:val="0"/>
          <w:sz w:val="20"/>
          <w:szCs w:val="20"/>
        </w:rPr>
      </w:pPr>
      <w:r w:rsidRPr="00DB331B">
        <w:rPr>
          <w:rFonts w:asciiTheme="minorHAnsi" w:hAnsiTheme="minorHAnsi"/>
          <w:b w:val="0"/>
          <w:bCs w:val="0"/>
        </w:rPr>
        <w:t xml:space="preserve">(*) </w:t>
      </w:r>
      <w:r w:rsidR="00766697" w:rsidRPr="00DB331B">
        <w:rPr>
          <w:rFonts w:asciiTheme="minorHAnsi" w:hAnsiTheme="minorHAnsi"/>
          <w:b w:val="0"/>
          <w:bCs w:val="0"/>
        </w:rPr>
        <w:t xml:space="preserve">È </w:t>
      </w:r>
      <w:r w:rsidRPr="00DB331B">
        <w:rPr>
          <w:rFonts w:asciiTheme="minorHAnsi" w:hAnsiTheme="minorHAnsi"/>
          <w:b w:val="0"/>
          <w:bCs w:val="0"/>
        </w:rPr>
        <w:t>possibile rispondere a più opzioni</w:t>
      </w:r>
    </w:p>
    <w:p w:rsidR="00496CB5" w:rsidRPr="00DB331B" w:rsidRDefault="00496CB5" w:rsidP="00496CB5">
      <w:pPr>
        <w:pStyle w:val="Corpodeltesto"/>
        <w:kinsoku w:val="0"/>
        <w:overflowPunct w:val="0"/>
        <w:ind w:left="269"/>
        <w:rPr>
          <w:rFonts w:asciiTheme="minorHAnsi" w:hAnsiTheme="minorHAnsi"/>
          <w:b w:val="0"/>
          <w:bCs w:val="0"/>
        </w:rPr>
      </w:pPr>
    </w:p>
    <w:p w:rsidR="00496CB5" w:rsidRPr="00DB331B" w:rsidRDefault="00496CB5" w:rsidP="002E3E6C">
      <w:pPr>
        <w:tabs>
          <w:tab w:val="left" w:pos="440"/>
        </w:tabs>
        <w:kinsoku w:val="0"/>
        <w:overflowPunct w:val="0"/>
        <w:rPr>
          <w:b/>
          <w:bCs/>
          <w:color w:val="000000" w:themeColor="text1"/>
          <w:sz w:val="18"/>
          <w:szCs w:val="18"/>
        </w:rPr>
      </w:pPr>
    </w:p>
    <w:p w:rsidR="00496CB5" w:rsidRPr="00DB331B" w:rsidRDefault="00496CB5" w:rsidP="00F652FF">
      <w:pPr>
        <w:rPr>
          <w:b/>
          <w:bCs/>
          <w:color w:val="4F81BD" w:themeColor="accent1"/>
        </w:rPr>
      </w:pPr>
    </w:p>
    <w:p w:rsidR="00496CB5" w:rsidRPr="00DB331B" w:rsidRDefault="00496CB5" w:rsidP="00F652FF">
      <w:pPr>
        <w:rPr>
          <w:b/>
          <w:bCs/>
          <w:color w:val="4F81BD" w:themeColor="accent1"/>
        </w:rPr>
      </w:pPr>
    </w:p>
    <w:sectPr w:rsidR="00496CB5" w:rsidRPr="00DB331B" w:rsidSect="0041254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A00" w:rsidRDefault="00A17A00" w:rsidP="0094439A">
      <w:r>
        <w:separator/>
      </w:r>
    </w:p>
  </w:endnote>
  <w:endnote w:type="continuationSeparator" w:id="1">
    <w:p w:rsidR="00A17A00" w:rsidRDefault="00A17A00" w:rsidP="00944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90" w:rsidRDefault="005C0EDB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0A9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0A90" w:rsidRDefault="003A0A90" w:rsidP="00940B0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90" w:rsidRDefault="005C0EDB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0A9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64C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A0A90" w:rsidRDefault="003A0A90" w:rsidP="00940B0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A00" w:rsidRDefault="00A17A00" w:rsidP="0094439A">
      <w:r>
        <w:separator/>
      </w:r>
    </w:p>
  </w:footnote>
  <w:footnote w:type="continuationSeparator" w:id="1">
    <w:p w:rsidR="00A17A00" w:rsidRDefault="00A17A00" w:rsidP="00944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90" w:rsidRDefault="003A0A9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90" w:rsidRDefault="003A0A90" w:rsidP="0041254C">
    <w:pPr>
      <w:pStyle w:val="Intestazione"/>
    </w:pPr>
    <w:r>
      <w:rPr>
        <w:noProof/>
        <w:lang w:eastAsia="it-IT"/>
      </w:rPr>
      <w:drawing>
        <wp:inline distT="0" distB="0" distL="0" distR="0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A90" w:rsidRDefault="003A0A90" w:rsidP="0041254C">
    <w:pPr>
      <w:pStyle w:val="Intestazione"/>
    </w:pPr>
  </w:p>
  <w:p w:rsidR="003A0A90" w:rsidRDefault="003A0A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3"/>
  </w:num>
  <w:num w:numId="7">
    <w:abstractNumId w:val="26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10"/>
  </w:num>
  <w:num w:numId="13">
    <w:abstractNumId w:val="18"/>
  </w:num>
  <w:num w:numId="14">
    <w:abstractNumId w:val="24"/>
  </w:num>
  <w:num w:numId="15">
    <w:abstractNumId w:val="28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2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7"/>
  </w:num>
  <w:num w:numId="29">
    <w:abstractNumId w:val="30"/>
  </w:num>
  <w:num w:numId="30">
    <w:abstractNumId w:val="4"/>
  </w:num>
  <w:num w:numId="31">
    <w:abstractNumId w:val="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14949"/>
    <w:rsid w:val="0001510A"/>
    <w:rsid w:val="00066EED"/>
    <w:rsid w:val="00072DDF"/>
    <w:rsid w:val="00092B25"/>
    <w:rsid w:val="00092D5C"/>
    <w:rsid w:val="000C1945"/>
    <w:rsid w:val="000C4076"/>
    <w:rsid w:val="000C4542"/>
    <w:rsid w:val="000C6261"/>
    <w:rsid w:val="000D0849"/>
    <w:rsid w:val="000D61E0"/>
    <w:rsid w:val="000D64CA"/>
    <w:rsid w:val="000D7742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6567B"/>
    <w:rsid w:val="001702E6"/>
    <w:rsid w:val="00174922"/>
    <w:rsid w:val="00185088"/>
    <w:rsid w:val="001871AE"/>
    <w:rsid w:val="0018791B"/>
    <w:rsid w:val="001903D9"/>
    <w:rsid w:val="001919D4"/>
    <w:rsid w:val="00192665"/>
    <w:rsid w:val="001A2002"/>
    <w:rsid w:val="001B3F1E"/>
    <w:rsid w:val="001B58AA"/>
    <w:rsid w:val="001C48D4"/>
    <w:rsid w:val="001D164A"/>
    <w:rsid w:val="001D3074"/>
    <w:rsid w:val="001E4802"/>
    <w:rsid w:val="001E6B91"/>
    <w:rsid w:val="001F5EBB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0144"/>
    <w:rsid w:val="002A1069"/>
    <w:rsid w:val="002A1AA7"/>
    <w:rsid w:val="002A238C"/>
    <w:rsid w:val="002A43A2"/>
    <w:rsid w:val="002B0060"/>
    <w:rsid w:val="002C0404"/>
    <w:rsid w:val="002C650F"/>
    <w:rsid w:val="002D187E"/>
    <w:rsid w:val="002D3AAF"/>
    <w:rsid w:val="002D3CFF"/>
    <w:rsid w:val="002E3E6C"/>
    <w:rsid w:val="002E6A11"/>
    <w:rsid w:val="0030271E"/>
    <w:rsid w:val="00305C5E"/>
    <w:rsid w:val="00310C9D"/>
    <w:rsid w:val="00322650"/>
    <w:rsid w:val="00344DF9"/>
    <w:rsid w:val="003467CE"/>
    <w:rsid w:val="003526DF"/>
    <w:rsid w:val="00352D17"/>
    <w:rsid w:val="00355909"/>
    <w:rsid w:val="00361058"/>
    <w:rsid w:val="00385AB9"/>
    <w:rsid w:val="00387724"/>
    <w:rsid w:val="003959B3"/>
    <w:rsid w:val="003A0A90"/>
    <w:rsid w:val="003A1A41"/>
    <w:rsid w:val="003B0C9E"/>
    <w:rsid w:val="003B553F"/>
    <w:rsid w:val="003D245C"/>
    <w:rsid w:val="003E3961"/>
    <w:rsid w:val="0040332B"/>
    <w:rsid w:val="0040505D"/>
    <w:rsid w:val="004069FD"/>
    <w:rsid w:val="0041254C"/>
    <w:rsid w:val="00417AC0"/>
    <w:rsid w:val="00423F25"/>
    <w:rsid w:val="00432EE2"/>
    <w:rsid w:val="004364AC"/>
    <w:rsid w:val="00437182"/>
    <w:rsid w:val="00450C0D"/>
    <w:rsid w:val="004633F8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3FC8"/>
    <w:rsid w:val="004E45AB"/>
    <w:rsid w:val="004F060B"/>
    <w:rsid w:val="004F0FE0"/>
    <w:rsid w:val="004F1A50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57FC8"/>
    <w:rsid w:val="00565064"/>
    <w:rsid w:val="00567D8B"/>
    <w:rsid w:val="005709B4"/>
    <w:rsid w:val="00574452"/>
    <w:rsid w:val="005931AD"/>
    <w:rsid w:val="00595A88"/>
    <w:rsid w:val="005B3412"/>
    <w:rsid w:val="005C09DD"/>
    <w:rsid w:val="005C0EDB"/>
    <w:rsid w:val="005C5E1B"/>
    <w:rsid w:val="005C7471"/>
    <w:rsid w:val="005D352B"/>
    <w:rsid w:val="005D36E5"/>
    <w:rsid w:val="005D74A7"/>
    <w:rsid w:val="005F42EB"/>
    <w:rsid w:val="00602D12"/>
    <w:rsid w:val="00603CD3"/>
    <w:rsid w:val="00607A08"/>
    <w:rsid w:val="006119C2"/>
    <w:rsid w:val="006121DB"/>
    <w:rsid w:val="0062117D"/>
    <w:rsid w:val="00647AFF"/>
    <w:rsid w:val="0066303F"/>
    <w:rsid w:val="00672C29"/>
    <w:rsid w:val="00695BF6"/>
    <w:rsid w:val="006C7D11"/>
    <w:rsid w:val="006D3A7B"/>
    <w:rsid w:val="006D61D9"/>
    <w:rsid w:val="006D9549"/>
    <w:rsid w:val="006F2072"/>
    <w:rsid w:val="006F2E32"/>
    <w:rsid w:val="006F62F0"/>
    <w:rsid w:val="007046FF"/>
    <w:rsid w:val="007122C5"/>
    <w:rsid w:val="00726829"/>
    <w:rsid w:val="00726C0E"/>
    <w:rsid w:val="0073303B"/>
    <w:rsid w:val="00733A5E"/>
    <w:rsid w:val="00736625"/>
    <w:rsid w:val="00741B60"/>
    <w:rsid w:val="00761713"/>
    <w:rsid w:val="00766697"/>
    <w:rsid w:val="0077020B"/>
    <w:rsid w:val="00771B93"/>
    <w:rsid w:val="0078528E"/>
    <w:rsid w:val="00796E4D"/>
    <w:rsid w:val="007A131F"/>
    <w:rsid w:val="007B26AB"/>
    <w:rsid w:val="007B3D16"/>
    <w:rsid w:val="007C26DD"/>
    <w:rsid w:val="007D2580"/>
    <w:rsid w:val="007D29BE"/>
    <w:rsid w:val="007D3A68"/>
    <w:rsid w:val="007F0D3C"/>
    <w:rsid w:val="00805704"/>
    <w:rsid w:val="00805722"/>
    <w:rsid w:val="00813C99"/>
    <w:rsid w:val="008158E3"/>
    <w:rsid w:val="008304C1"/>
    <w:rsid w:val="0083607A"/>
    <w:rsid w:val="00837A65"/>
    <w:rsid w:val="00871FF8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97BC8"/>
    <w:rsid w:val="009A39EA"/>
    <w:rsid w:val="009B276B"/>
    <w:rsid w:val="009B703A"/>
    <w:rsid w:val="009C12C8"/>
    <w:rsid w:val="009D1B4E"/>
    <w:rsid w:val="009D21A0"/>
    <w:rsid w:val="009D2462"/>
    <w:rsid w:val="009D75D6"/>
    <w:rsid w:val="009E000C"/>
    <w:rsid w:val="009E5C02"/>
    <w:rsid w:val="009F09CF"/>
    <w:rsid w:val="00A02683"/>
    <w:rsid w:val="00A07B3F"/>
    <w:rsid w:val="00A10795"/>
    <w:rsid w:val="00A14AEF"/>
    <w:rsid w:val="00A14F58"/>
    <w:rsid w:val="00A17A00"/>
    <w:rsid w:val="00A520A7"/>
    <w:rsid w:val="00A7453C"/>
    <w:rsid w:val="00A75189"/>
    <w:rsid w:val="00A843F1"/>
    <w:rsid w:val="00A847C9"/>
    <w:rsid w:val="00A93A87"/>
    <w:rsid w:val="00AA39E9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4EBD"/>
    <w:rsid w:val="00B06C6F"/>
    <w:rsid w:val="00B158C7"/>
    <w:rsid w:val="00B50248"/>
    <w:rsid w:val="00B572F1"/>
    <w:rsid w:val="00B64097"/>
    <w:rsid w:val="00B642F9"/>
    <w:rsid w:val="00B7029A"/>
    <w:rsid w:val="00B84876"/>
    <w:rsid w:val="00B87B82"/>
    <w:rsid w:val="00BA19B1"/>
    <w:rsid w:val="00BA1F39"/>
    <w:rsid w:val="00BB5C4A"/>
    <w:rsid w:val="00BC60A0"/>
    <w:rsid w:val="00BD175A"/>
    <w:rsid w:val="00BD18B5"/>
    <w:rsid w:val="00C00B94"/>
    <w:rsid w:val="00C0316A"/>
    <w:rsid w:val="00C04CC3"/>
    <w:rsid w:val="00C06A22"/>
    <w:rsid w:val="00C239E5"/>
    <w:rsid w:val="00C62C8B"/>
    <w:rsid w:val="00C668B7"/>
    <w:rsid w:val="00C73B4F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C02C5"/>
    <w:rsid w:val="00CC3DF3"/>
    <w:rsid w:val="00CD1F4A"/>
    <w:rsid w:val="00CE4FBE"/>
    <w:rsid w:val="00CE5A9C"/>
    <w:rsid w:val="00CF0A6B"/>
    <w:rsid w:val="00D05D02"/>
    <w:rsid w:val="00D1103C"/>
    <w:rsid w:val="00D14949"/>
    <w:rsid w:val="00D16D92"/>
    <w:rsid w:val="00D23BDD"/>
    <w:rsid w:val="00D324A9"/>
    <w:rsid w:val="00D46AD9"/>
    <w:rsid w:val="00D56022"/>
    <w:rsid w:val="00D617E1"/>
    <w:rsid w:val="00D67594"/>
    <w:rsid w:val="00D702DB"/>
    <w:rsid w:val="00D72272"/>
    <w:rsid w:val="00DA2DB6"/>
    <w:rsid w:val="00DB331B"/>
    <w:rsid w:val="00DC4788"/>
    <w:rsid w:val="00DD4D13"/>
    <w:rsid w:val="00DE3552"/>
    <w:rsid w:val="00DE75EF"/>
    <w:rsid w:val="00E00EE6"/>
    <w:rsid w:val="00E05623"/>
    <w:rsid w:val="00E2661A"/>
    <w:rsid w:val="00E45A80"/>
    <w:rsid w:val="00E529DA"/>
    <w:rsid w:val="00E572AC"/>
    <w:rsid w:val="00E61DD3"/>
    <w:rsid w:val="00E730AB"/>
    <w:rsid w:val="00E82B5E"/>
    <w:rsid w:val="00E83595"/>
    <w:rsid w:val="00E842EB"/>
    <w:rsid w:val="00E8552C"/>
    <w:rsid w:val="00E90A87"/>
    <w:rsid w:val="00EA3AF2"/>
    <w:rsid w:val="00EA3DC9"/>
    <w:rsid w:val="00EA4A7C"/>
    <w:rsid w:val="00EA7E45"/>
    <w:rsid w:val="00EB26E6"/>
    <w:rsid w:val="00EB6109"/>
    <w:rsid w:val="00EB69AB"/>
    <w:rsid w:val="00EB772F"/>
    <w:rsid w:val="00ED3690"/>
    <w:rsid w:val="00EF6F4B"/>
    <w:rsid w:val="00F01B61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92433"/>
    <w:rsid w:val="00FA02CC"/>
    <w:rsid w:val="00FA37A4"/>
    <w:rsid w:val="00FC00C8"/>
    <w:rsid w:val="00FD0FA1"/>
    <w:rsid w:val="00FD3185"/>
    <w:rsid w:val="00FD364B"/>
    <w:rsid w:val="00FE59D3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character" w:styleId="Enfasigrassetto">
    <w:name w:val="Strong"/>
    <w:basedOn w:val="Carpredefinitoparagrafo"/>
    <w:uiPriority w:val="22"/>
    <w:qFormat/>
    <w:rsid w:val="00DE3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2" ma:contentTypeDescription="Creare un nuovo documento." ma:contentTypeScope="" ma:versionID="764313d7437349b0aa64ef76798caf72">
  <xsd:schema xmlns:xsd="http://www.w3.org/2001/XMLSchema" xmlns:xs="http://www.w3.org/2001/XMLSchema" xmlns:p="http://schemas.microsoft.com/office/2006/metadata/properties" xmlns:ns2="a3c111d9-db58-4b6f-99c0-a1e252bd0a17" targetNamespace="http://schemas.microsoft.com/office/2006/metadata/properties" ma:root="true" ma:fieldsID="36ac13b68286cb5f9a35e0c5d3611173" ns2:_="">
    <xsd:import namespace="a3c111d9-db58-4b6f-99c0-a1e252bd0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11d9-db58-4b6f-99c0-a1e252bd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43A01-BA63-1842-950D-8913451C9D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DBD12E-5FEF-457F-922F-F6C521EF2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111d9-db58-4b6f-99c0-a1e252bd0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21</vt:i4>
      </vt:variant>
    </vt:vector>
  </HeadingPairs>
  <TitlesOfParts>
    <vt:vector size="22" baseType="lpstr">
      <vt:lpstr/>
      <vt:lpstr>SCHEDA DELL'INSEGNAMENTO(SI)</vt:lpstr>
      <vt:lpstr/>
      <vt:lpstr>" PATOLOGIA SPECIALE ODONTOSTOMATOLOGICA"</vt:lpstr>
      <vt:lpstr/>
      <vt:lpstr>SSD:  PATOLOGIA SPECIALE ODONTOSTOMATOLOGICA EDERMATOLOGIA (28308)</vt:lpstr>
      <vt:lpstr>    Denominazione del Corso di studi: C.I. PATOLOGIA SPECIALE ODONTOSTOMATOLOGICA E </vt:lpstr>
      <vt:lpstr>    </vt:lpstr>
      <vt:lpstr>    Anno Accademico 2022-2023</vt:lpstr>
      <vt:lpstr>INFORMAZIONI GENERALI - docente</vt:lpstr>
      <vt:lpstr>    </vt:lpstr>
      <vt:lpstr>    docente: Michele davide mignogna</vt:lpstr>
      <vt:lpstr>    telefono: 0817461111</vt:lpstr>
      <vt:lpstr>    email:	 mignogna@unina.it</vt:lpstr>
      <vt:lpstr>    </vt:lpstr>
      <vt:lpstr>INFORMAZIONI GENERALI - ATTIVITÀ</vt:lpstr>
      <vt:lpstr>    </vt:lpstr>
      <vt:lpstr>    INSEGNAMENTO INTEGRATO: PATOLOGIA SPECIALE ODONTOSTOMATOLOGICA E DERMATOLOGIA (2</vt:lpstr>
      <vt:lpstr>    ANNO DI CORSO: III	</vt:lpstr>
      <vt:lpstr>    PERIODO DI SVOLGIMENTO: II sEMESTRE</vt:lpstr>
      <vt:lpstr>    </vt:lpstr>
      <vt:lpstr>    </vt:lpstr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User</cp:lastModifiedBy>
  <cp:revision>2</cp:revision>
  <cp:lastPrinted>2021-05-12T21:57:00Z</cp:lastPrinted>
  <dcterms:created xsi:type="dcterms:W3CDTF">2022-09-14T12:33:00Z</dcterms:created>
  <dcterms:modified xsi:type="dcterms:W3CDTF">2022-09-14T12:33:00Z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</Properties>
</file>